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334FCA" w:rsidRDefault="0026738A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Mission Fulfillment</w:t>
      </w:r>
      <w:r w:rsidR="00AA61BC">
        <w:rPr>
          <w:rFonts w:eastAsia="MS Gothic"/>
          <w:b/>
          <w:sz w:val="40"/>
          <w:szCs w:val="40"/>
        </w:rPr>
        <w:t xml:space="preserve"> Committee</w:t>
      </w:r>
      <w:r w:rsidR="008C56A4" w:rsidRPr="00334FCA">
        <w:rPr>
          <w:rFonts w:eastAsia="MS Gothic"/>
          <w:b/>
          <w:sz w:val="40"/>
          <w:szCs w:val="40"/>
        </w:rPr>
        <w:t xml:space="preserve"> </w:t>
      </w:r>
      <w:r w:rsidR="00EA03EA" w:rsidRPr="00334FCA">
        <w:rPr>
          <w:rFonts w:eastAsia="MS Gothic"/>
          <w:b/>
          <w:sz w:val="40"/>
          <w:szCs w:val="40"/>
        </w:rPr>
        <w:t xml:space="preserve">Meeting </w:t>
      </w:r>
      <w:r w:rsidR="00AC36D9">
        <w:rPr>
          <w:rFonts w:eastAsia="MS Gothic"/>
          <w:b/>
          <w:sz w:val="40"/>
          <w:szCs w:val="40"/>
        </w:rPr>
        <w:t>Notes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B3CDC">
        <w:rPr>
          <w:sz w:val="28"/>
          <w:szCs w:val="28"/>
        </w:rPr>
        <w:t>Monday, May 20</w:t>
      </w:r>
      <w:r w:rsidR="000A21A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3B3CDC">
        <w:rPr>
          <w:sz w:val="28"/>
          <w:szCs w:val="28"/>
        </w:rPr>
        <w:t>1</w:t>
      </w:r>
      <w:r w:rsidR="000420E2">
        <w:rPr>
          <w:sz w:val="28"/>
          <w:szCs w:val="28"/>
        </w:rPr>
        <w:t xml:space="preserve">:00 | End: </w:t>
      </w:r>
      <w:r w:rsidR="003B3CDC">
        <w:rPr>
          <w:sz w:val="28"/>
          <w:szCs w:val="28"/>
        </w:rPr>
        <w:t>2</w:t>
      </w:r>
      <w:r w:rsidR="00AA61BC">
        <w:rPr>
          <w:sz w:val="28"/>
          <w:szCs w:val="28"/>
        </w:rPr>
        <w:t>:</w:t>
      </w:r>
      <w:r w:rsidR="00F816D4">
        <w:rPr>
          <w:sz w:val="28"/>
          <w:szCs w:val="28"/>
        </w:rPr>
        <w:t>00</w:t>
      </w:r>
      <w:r w:rsidR="0026738A">
        <w:rPr>
          <w:sz w:val="28"/>
          <w:szCs w:val="28"/>
        </w:rPr>
        <w:t xml:space="preserve"> </w:t>
      </w:r>
      <w:r w:rsidR="00536F41">
        <w:rPr>
          <w:sz w:val="28"/>
          <w:szCs w:val="28"/>
        </w:rPr>
        <w:t>p</w:t>
      </w:r>
      <w:r w:rsidR="0026738A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>B2</w:t>
      </w:r>
      <w:r w:rsidR="000420E2">
        <w:rPr>
          <w:sz w:val="28"/>
          <w:szCs w:val="28"/>
        </w:rPr>
        <w:t>40</w:t>
      </w:r>
      <w:r w:rsidR="0026738A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6738A">
        <w:rPr>
          <w:sz w:val="28"/>
          <w:szCs w:val="28"/>
        </w:rPr>
        <w:t>Sara Sellards</w:t>
      </w:r>
    </w:p>
    <w:p w:rsidR="006A238D" w:rsidRPr="00D73A72" w:rsidRDefault="006A238D" w:rsidP="003927B9">
      <w:pPr>
        <w:rPr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4"/>
        <w:gridCol w:w="10706"/>
      </w:tblGrid>
      <w:tr w:rsidR="00AC36D9" w:rsidRPr="00EE5430" w:rsidTr="00BF0E67">
        <w:tc>
          <w:tcPr>
            <w:tcW w:w="1280" w:type="pct"/>
            <w:shd w:val="clear" w:color="auto" w:fill="1F497D" w:themeFill="text2"/>
          </w:tcPr>
          <w:p w:rsidR="00AC36D9" w:rsidRPr="00EE5430" w:rsidRDefault="00AC36D9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3720" w:type="pct"/>
            <w:shd w:val="clear" w:color="auto" w:fill="1F497D" w:themeFill="text2"/>
          </w:tcPr>
          <w:p w:rsidR="00AC36D9" w:rsidRPr="00EE5430" w:rsidRDefault="00AC36D9" w:rsidP="001879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AC36D9" w:rsidTr="00BF0E67">
        <w:trPr>
          <w:trHeight w:val="70"/>
        </w:trPr>
        <w:tc>
          <w:tcPr>
            <w:tcW w:w="1280" w:type="pct"/>
          </w:tcPr>
          <w:p w:rsidR="00AC36D9" w:rsidRPr="00436E2F" w:rsidRDefault="00AC36D9" w:rsidP="009B237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Check-in and review commitments </w:t>
            </w:r>
          </w:p>
        </w:tc>
        <w:tc>
          <w:tcPr>
            <w:tcW w:w="3720" w:type="pct"/>
          </w:tcPr>
          <w:p w:rsidR="00AC36D9" w:rsidRPr="00AC36D9" w:rsidRDefault="00AC36D9" w:rsidP="00D74874">
            <w:pPr>
              <w:rPr>
                <w:szCs w:val="18"/>
              </w:rPr>
            </w:pPr>
            <w:r w:rsidRPr="00AC36D9">
              <w:rPr>
                <w:szCs w:val="18"/>
              </w:rPr>
              <w:t>No commitments to review.</w:t>
            </w:r>
          </w:p>
        </w:tc>
      </w:tr>
      <w:tr w:rsidR="00AC36D9" w:rsidTr="00BF0E67">
        <w:trPr>
          <w:trHeight w:val="70"/>
        </w:trPr>
        <w:tc>
          <w:tcPr>
            <w:tcW w:w="1280" w:type="pct"/>
          </w:tcPr>
          <w:p w:rsidR="00AC36D9" w:rsidRDefault="00AC36D9" w:rsidP="0084562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</w:t>
            </w:r>
            <w:r w:rsidRPr="0084562E">
              <w:rPr>
                <w:b/>
                <w:sz w:val="24"/>
                <w:szCs w:val="20"/>
              </w:rPr>
              <w:t>he latest version of indicators for Academic Relevance and Innovation</w:t>
            </w:r>
          </w:p>
        </w:tc>
        <w:tc>
          <w:tcPr>
            <w:tcW w:w="3720" w:type="pct"/>
          </w:tcPr>
          <w:p w:rsidR="00AC36D9" w:rsidRPr="00CE4B36" w:rsidRDefault="00CE4B36" w:rsidP="00CE4B36">
            <w:pPr>
              <w:rPr>
                <w:szCs w:val="18"/>
              </w:rPr>
            </w:pPr>
            <w:r>
              <w:rPr>
                <w:szCs w:val="18"/>
              </w:rPr>
              <w:t>Jason discussed the i</w:t>
            </w:r>
            <w:r w:rsidR="00BF0E67" w:rsidRPr="00CE4B36">
              <w:rPr>
                <w:szCs w:val="18"/>
              </w:rPr>
              <w:t>ndicators for acad</w:t>
            </w:r>
            <w:r>
              <w:rPr>
                <w:szCs w:val="18"/>
              </w:rPr>
              <w:t xml:space="preserve">emic relevance and innovation. He said that </w:t>
            </w:r>
            <w:r w:rsidR="00BF0E67" w:rsidRPr="00CE4B36">
              <w:rPr>
                <w:szCs w:val="18"/>
              </w:rPr>
              <w:t xml:space="preserve">a group </w:t>
            </w:r>
            <w:r>
              <w:rPr>
                <w:szCs w:val="18"/>
              </w:rPr>
              <w:t xml:space="preserve">was convened </w:t>
            </w:r>
            <w:r w:rsidR="00BF0E67" w:rsidRPr="00CE4B36">
              <w:rPr>
                <w:szCs w:val="18"/>
              </w:rPr>
              <w:t xml:space="preserve">using the draft that </w:t>
            </w:r>
            <w:r>
              <w:rPr>
                <w:szCs w:val="18"/>
              </w:rPr>
              <w:t xml:space="preserve">he and Lisa put together. That draft was rejected. They then </w:t>
            </w:r>
            <w:r w:rsidR="00BF0E67" w:rsidRPr="00CE4B36">
              <w:rPr>
                <w:szCs w:val="18"/>
              </w:rPr>
              <w:t>convened a group in winter and</w:t>
            </w:r>
            <w:r>
              <w:rPr>
                <w:szCs w:val="18"/>
              </w:rPr>
              <w:t xml:space="preserve"> landed on a new list of things.</w:t>
            </w:r>
          </w:p>
          <w:p w:rsidR="00912349" w:rsidRPr="00912349" w:rsidRDefault="00912349" w:rsidP="00912349">
            <w:pPr>
              <w:rPr>
                <w:szCs w:val="18"/>
              </w:rPr>
            </w:pPr>
          </w:p>
          <w:p w:rsidR="00BF0E67" w:rsidRPr="00CE4B36" w:rsidRDefault="00CE4B36" w:rsidP="00CE4B36">
            <w:pPr>
              <w:rPr>
                <w:szCs w:val="18"/>
              </w:rPr>
            </w:pPr>
            <w:r>
              <w:rPr>
                <w:szCs w:val="18"/>
              </w:rPr>
              <w:t>Proposed i</w:t>
            </w:r>
            <w:r w:rsidR="00BF0E67" w:rsidRPr="00CE4B36">
              <w:rPr>
                <w:szCs w:val="18"/>
              </w:rPr>
              <w:t>ndicators:</w:t>
            </w:r>
          </w:p>
          <w:p w:rsidR="00BF0E67" w:rsidRDefault="00BF0E67" w:rsidP="00912349">
            <w:pPr>
              <w:pStyle w:val="ListParagraph"/>
              <w:numPr>
                <w:ilvl w:val="0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80% of respondents to the forthcoming advisory board survey(s) answer the following with “agree” or “strongly agree:”</w:t>
            </w:r>
          </w:p>
          <w:p w:rsidR="00BF0E67" w:rsidRDefault="00BF0E67" w:rsidP="00912349">
            <w:pPr>
              <w:pStyle w:val="ListParagraph"/>
              <w:numPr>
                <w:ilvl w:val="1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“Program is responsive to feedback and makes changes as appropriate”</w:t>
            </w:r>
          </w:p>
          <w:p w:rsidR="00BF0E67" w:rsidRDefault="00BF0E67" w:rsidP="00912349">
            <w:pPr>
              <w:pStyle w:val="ListParagraph"/>
              <w:numPr>
                <w:ilvl w:val="1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“The program effectively prepares students for jobs in the industry”</w:t>
            </w:r>
          </w:p>
          <w:p w:rsidR="00BF0E67" w:rsidRDefault="00BF0E67" w:rsidP="00912349">
            <w:pPr>
              <w:pStyle w:val="ListParagraph"/>
              <w:numPr>
                <w:ilvl w:val="0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X% of assessment survey respondents indicate that they “sought information/assistance about instructional best practices to address ideas raised by the assessment process”</w:t>
            </w:r>
          </w:p>
          <w:p w:rsidR="00BF0E67" w:rsidRDefault="00BF0E67" w:rsidP="00912349">
            <w:pPr>
              <w:pStyle w:val="ListParagraph"/>
              <w:numPr>
                <w:ilvl w:val="0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 xml:space="preserve">Y faculty submit applications for the Foundation’s innovation mini-grant program </w:t>
            </w:r>
          </w:p>
          <w:p w:rsidR="00912349" w:rsidRDefault="00912349" w:rsidP="00912349">
            <w:pPr>
              <w:pStyle w:val="ListParagraph"/>
              <w:ind w:left="360"/>
              <w:rPr>
                <w:szCs w:val="18"/>
              </w:rPr>
            </w:pPr>
          </w:p>
          <w:p w:rsidR="00BF0E67" w:rsidRPr="00CE4B36" w:rsidRDefault="00BF0E67" w:rsidP="00CE4B36">
            <w:pPr>
              <w:rPr>
                <w:szCs w:val="18"/>
              </w:rPr>
            </w:pPr>
            <w:r w:rsidRPr="00CE4B36">
              <w:rPr>
                <w:szCs w:val="18"/>
              </w:rPr>
              <w:t>Feedback</w:t>
            </w:r>
            <w:r w:rsidR="00CE4B36">
              <w:rPr>
                <w:szCs w:val="18"/>
              </w:rPr>
              <w:t xml:space="preserve"> from the committee</w:t>
            </w:r>
            <w:r w:rsidRPr="00CE4B36">
              <w:rPr>
                <w:szCs w:val="18"/>
              </w:rPr>
              <w:t xml:space="preserve">: </w:t>
            </w:r>
          </w:p>
          <w:p w:rsidR="00BF0E67" w:rsidRDefault="00BF0E67" w:rsidP="00CE4B36">
            <w:pPr>
              <w:pStyle w:val="ListParagraph"/>
              <w:numPr>
                <w:ilvl w:val="0"/>
                <w:numId w:val="27"/>
              </w:numPr>
              <w:ind w:left="720"/>
              <w:rPr>
                <w:szCs w:val="18"/>
              </w:rPr>
            </w:pPr>
            <w:r>
              <w:rPr>
                <w:szCs w:val="18"/>
              </w:rPr>
              <w:t>M</w:t>
            </w:r>
            <w:r w:rsidR="00CE4B36">
              <w:rPr>
                <w:szCs w:val="18"/>
              </w:rPr>
              <w:t xml:space="preserve">ini grants </w:t>
            </w:r>
            <w:r>
              <w:rPr>
                <w:szCs w:val="18"/>
              </w:rPr>
              <w:t xml:space="preserve">could </w:t>
            </w:r>
            <w:r w:rsidR="00CE4B36">
              <w:rPr>
                <w:szCs w:val="18"/>
              </w:rPr>
              <w:t>include</w:t>
            </w:r>
            <w:r>
              <w:rPr>
                <w:szCs w:val="18"/>
              </w:rPr>
              <w:t xml:space="preserve"> multiple faculty or staff submitting an application – </w:t>
            </w:r>
            <w:r w:rsidR="00CE4B36">
              <w:rPr>
                <w:szCs w:val="18"/>
              </w:rPr>
              <w:t xml:space="preserve">also, </w:t>
            </w:r>
            <w:r>
              <w:rPr>
                <w:szCs w:val="18"/>
              </w:rPr>
              <w:t>just because someone submits an application, it doesn’t mean they’ll receive the mini grant</w:t>
            </w:r>
          </w:p>
          <w:p w:rsidR="00CE4B36" w:rsidRDefault="00CE4B36" w:rsidP="00CE4B36">
            <w:pPr>
              <w:pStyle w:val="ListParagraph"/>
              <w:numPr>
                <w:ilvl w:val="0"/>
                <w:numId w:val="27"/>
              </w:numPr>
              <w:ind w:left="720"/>
              <w:rPr>
                <w:szCs w:val="18"/>
              </w:rPr>
            </w:pPr>
            <w:r>
              <w:rPr>
                <w:szCs w:val="18"/>
              </w:rPr>
              <w:t>The first indicator</w:t>
            </w:r>
            <w:r w:rsidR="00BF0E67">
              <w:rPr>
                <w:szCs w:val="18"/>
              </w:rPr>
              <w:t xml:space="preserve"> only gets at programs that have advisory boards – what about transfer studen</w:t>
            </w:r>
            <w:r>
              <w:rPr>
                <w:szCs w:val="18"/>
              </w:rPr>
              <w:t xml:space="preserve">ts? </w:t>
            </w:r>
          </w:p>
          <w:p w:rsidR="00BF0E67" w:rsidRDefault="00CE4B36" w:rsidP="00CE4B36">
            <w:pPr>
              <w:pStyle w:val="ListParagraph"/>
              <w:numPr>
                <w:ilvl w:val="1"/>
                <w:numId w:val="27"/>
              </w:numPr>
              <w:ind w:left="1440"/>
              <w:rPr>
                <w:szCs w:val="18"/>
              </w:rPr>
            </w:pPr>
            <w:r>
              <w:rPr>
                <w:szCs w:val="18"/>
              </w:rPr>
              <w:t>P</w:t>
            </w:r>
            <w:r w:rsidR="00BF0E67">
              <w:rPr>
                <w:szCs w:val="18"/>
              </w:rPr>
              <w:t xml:space="preserve">ost-transfer success measures were discussed – those measures are from the state, </w:t>
            </w:r>
            <w:r>
              <w:rPr>
                <w:szCs w:val="18"/>
              </w:rPr>
              <w:t>and don’t</w:t>
            </w:r>
            <w:r w:rsidR="00BF0E67">
              <w:rPr>
                <w:szCs w:val="18"/>
              </w:rPr>
              <w:t xml:space="preserve"> go program by program </w:t>
            </w:r>
          </w:p>
          <w:p w:rsidR="00BF0E67" w:rsidRDefault="00BF0E67" w:rsidP="00CE4B36">
            <w:pPr>
              <w:pStyle w:val="ListParagraph"/>
              <w:numPr>
                <w:ilvl w:val="0"/>
                <w:numId w:val="27"/>
              </w:numPr>
              <w:ind w:left="720"/>
              <w:rPr>
                <w:szCs w:val="18"/>
              </w:rPr>
            </w:pPr>
            <w:r>
              <w:rPr>
                <w:szCs w:val="18"/>
              </w:rPr>
              <w:t>Could we find a way to tie into particular programs that our students transfer to?</w:t>
            </w:r>
          </w:p>
          <w:p w:rsidR="00BF0E67" w:rsidRDefault="00BF0E67" w:rsidP="00CE4B36">
            <w:pPr>
              <w:pStyle w:val="ListParagraph"/>
              <w:numPr>
                <w:ilvl w:val="0"/>
                <w:numId w:val="27"/>
              </w:numPr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Any questions on the EYES survey that could connect to relevance/innovation? </w:t>
            </w:r>
          </w:p>
          <w:p w:rsidR="00BF0E67" w:rsidRDefault="00BF0E67" w:rsidP="00CE4B36">
            <w:pPr>
              <w:pStyle w:val="ListParagraph"/>
              <w:numPr>
                <w:ilvl w:val="1"/>
                <w:numId w:val="27"/>
              </w:numPr>
              <w:ind w:left="1440"/>
              <w:rPr>
                <w:szCs w:val="18"/>
              </w:rPr>
            </w:pPr>
            <w:r>
              <w:rPr>
                <w:szCs w:val="18"/>
              </w:rPr>
              <w:t xml:space="preserve">EYES is more around utilization and satisfaction of student services – less around relevance </w:t>
            </w:r>
          </w:p>
          <w:p w:rsidR="00BF0E67" w:rsidRDefault="00CE4B36" w:rsidP="00CE4B36">
            <w:pPr>
              <w:pStyle w:val="ListParagraph"/>
              <w:numPr>
                <w:ilvl w:val="0"/>
                <w:numId w:val="27"/>
              </w:numPr>
              <w:ind w:left="720"/>
              <w:rPr>
                <w:szCs w:val="18"/>
              </w:rPr>
            </w:pPr>
            <w:r>
              <w:rPr>
                <w:szCs w:val="18"/>
              </w:rPr>
              <w:t>There was a</w:t>
            </w:r>
            <w:r w:rsidR="00912349">
              <w:rPr>
                <w:szCs w:val="18"/>
              </w:rPr>
              <w:t xml:space="preserve">greement that the first indicator is </w:t>
            </w:r>
            <w:r>
              <w:rPr>
                <w:szCs w:val="18"/>
              </w:rPr>
              <w:t xml:space="preserve">a </w:t>
            </w:r>
            <w:r w:rsidR="00912349">
              <w:rPr>
                <w:szCs w:val="18"/>
              </w:rPr>
              <w:t>good</w:t>
            </w:r>
            <w:r>
              <w:rPr>
                <w:szCs w:val="18"/>
              </w:rPr>
              <w:t xml:space="preserve"> one</w:t>
            </w:r>
          </w:p>
          <w:p w:rsidR="00CE7FB9" w:rsidRDefault="00CE7FB9" w:rsidP="00CE4B36">
            <w:pPr>
              <w:pStyle w:val="ListParagraph"/>
              <w:numPr>
                <w:ilvl w:val="0"/>
                <w:numId w:val="27"/>
              </w:numPr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It was suggested that the third indicator be changed to </w:t>
            </w:r>
            <w:r w:rsidR="00754753">
              <w:rPr>
                <w:szCs w:val="18"/>
              </w:rPr>
              <w:t>not include</w:t>
            </w:r>
            <w:r>
              <w:rPr>
                <w:szCs w:val="18"/>
              </w:rPr>
              <w:t xml:space="preserve"> number of faculty</w:t>
            </w:r>
          </w:p>
          <w:p w:rsidR="00754753" w:rsidRPr="00754753" w:rsidRDefault="00754753" w:rsidP="00754753">
            <w:pPr>
              <w:pStyle w:val="ListParagraph"/>
              <w:numPr>
                <w:ilvl w:val="1"/>
                <w:numId w:val="27"/>
              </w:numPr>
              <w:ind w:left="1440"/>
              <w:rPr>
                <w:szCs w:val="18"/>
              </w:rPr>
            </w:pPr>
            <w:r w:rsidRPr="00754753">
              <w:rPr>
                <w:szCs w:val="18"/>
              </w:rPr>
              <w:t>Jason committed to revising</w:t>
            </w:r>
            <w:r>
              <w:rPr>
                <w:szCs w:val="18"/>
              </w:rPr>
              <w:t xml:space="preserve"> the indicator</w:t>
            </w:r>
            <w:r w:rsidRPr="00754753">
              <w:rPr>
                <w:szCs w:val="18"/>
              </w:rPr>
              <w:t xml:space="preserve"> to reflect </w:t>
            </w:r>
            <w:r>
              <w:rPr>
                <w:szCs w:val="18"/>
              </w:rPr>
              <w:t xml:space="preserve">the </w:t>
            </w:r>
            <w:r w:rsidRPr="00754753">
              <w:rPr>
                <w:szCs w:val="18"/>
              </w:rPr>
              <w:t>number of applications, not number of faculty</w:t>
            </w:r>
          </w:p>
          <w:p w:rsidR="00CE7FB9" w:rsidRPr="00CE7FB9" w:rsidRDefault="00CE7FB9" w:rsidP="00CE7FB9">
            <w:pPr>
              <w:pStyle w:val="ListParagraph"/>
              <w:numPr>
                <w:ilvl w:val="0"/>
                <w:numId w:val="27"/>
              </w:numPr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For the third indicator, it was suggested that we include how many applied, how many accepted, etc. – track that information over time – alternatively, look at how many are implemented </w:t>
            </w:r>
          </w:p>
          <w:p w:rsidR="00CE4B36" w:rsidRDefault="00CE4B36" w:rsidP="00CE4B36">
            <w:pPr>
              <w:pStyle w:val="ListParagraph"/>
              <w:ind w:left="360"/>
              <w:rPr>
                <w:szCs w:val="18"/>
              </w:rPr>
            </w:pPr>
          </w:p>
          <w:p w:rsidR="00912349" w:rsidRDefault="00CE4B36" w:rsidP="00CE4B36">
            <w:pPr>
              <w:rPr>
                <w:szCs w:val="18"/>
              </w:rPr>
            </w:pPr>
            <w:r>
              <w:rPr>
                <w:szCs w:val="18"/>
              </w:rPr>
              <w:t>Jason said that</w:t>
            </w:r>
            <w:r w:rsidR="00912349" w:rsidRPr="00CE4B36">
              <w:rPr>
                <w:szCs w:val="18"/>
              </w:rPr>
              <w:t xml:space="preserve"> these </w:t>
            </w:r>
            <w:r>
              <w:rPr>
                <w:szCs w:val="18"/>
              </w:rPr>
              <w:t>could be things that we adapt. He would like to s</w:t>
            </w:r>
            <w:r w:rsidR="00912349" w:rsidRPr="00CE4B36">
              <w:rPr>
                <w:szCs w:val="18"/>
              </w:rPr>
              <w:t>e</w:t>
            </w:r>
            <w:r>
              <w:rPr>
                <w:szCs w:val="18"/>
              </w:rPr>
              <w:t>t</w:t>
            </w:r>
            <w:r w:rsidR="00912349" w:rsidRPr="00CE4B36">
              <w:rPr>
                <w:szCs w:val="18"/>
              </w:rPr>
              <w:t xml:space="preserve"> the IR crew loose to do some research on these</w:t>
            </w:r>
            <w:r>
              <w:rPr>
                <w:szCs w:val="18"/>
              </w:rPr>
              <w:t xml:space="preserve"> and then</w:t>
            </w:r>
            <w:r w:rsidR="00912349" w:rsidRPr="00CE4B36">
              <w:rPr>
                <w:szCs w:val="18"/>
              </w:rPr>
              <w:t xml:space="preserve"> look at the results and dis</w:t>
            </w:r>
            <w:r>
              <w:rPr>
                <w:szCs w:val="18"/>
              </w:rPr>
              <w:t>cuss what the results suggest, continuing to search</w:t>
            </w:r>
            <w:r w:rsidR="00912349" w:rsidRPr="00CE4B36">
              <w:rPr>
                <w:szCs w:val="18"/>
              </w:rPr>
              <w:t xml:space="preserve"> for alternatives</w:t>
            </w:r>
            <w:r>
              <w:rPr>
                <w:szCs w:val="18"/>
              </w:rPr>
              <w:t>.</w:t>
            </w:r>
          </w:p>
          <w:p w:rsidR="00CE4B36" w:rsidRPr="00CE4B36" w:rsidRDefault="00CE4B36" w:rsidP="00CE4B36">
            <w:pPr>
              <w:rPr>
                <w:szCs w:val="18"/>
              </w:rPr>
            </w:pPr>
          </w:p>
          <w:p w:rsidR="00912349" w:rsidRDefault="00CE4B36" w:rsidP="00CE4B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Elizabeth asked</w:t>
            </w:r>
            <w:r w:rsidR="00912349" w:rsidRPr="00CE4B36">
              <w:rPr>
                <w:szCs w:val="18"/>
              </w:rPr>
              <w:t xml:space="preserve"> what the steps </w:t>
            </w:r>
            <w:r>
              <w:rPr>
                <w:szCs w:val="18"/>
              </w:rPr>
              <w:t xml:space="preserve">are </w:t>
            </w:r>
            <w:r w:rsidR="00912349" w:rsidRPr="00CE4B36">
              <w:rPr>
                <w:szCs w:val="18"/>
              </w:rPr>
              <w:t>in the process of us as an institution defining wh</w:t>
            </w:r>
            <w:r>
              <w:rPr>
                <w:szCs w:val="18"/>
              </w:rPr>
              <w:t>at relevance and innovation are.</w:t>
            </w:r>
            <w:r w:rsidR="00912349" w:rsidRPr="00CE4B36">
              <w:rPr>
                <w:szCs w:val="18"/>
              </w:rPr>
              <w:t xml:space="preserve"> Have we agreed on what it is we are measuring? </w:t>
            </w:r>
          </w:p>
          <w:p w:rsidR="00CE7FB9" w:rsidRPr="00CE4B36" w:rsidRDefault="00CE7FB9" w:rsidP="00CE4B36">
            <w:pPr>
              <w:rPr>
                <w:szCs w:val="18"/>
              </w:rPr>
            </w:pPr>
          </w:p>
          <w:p w:rsidR="009812B5" w:rsidRDefault="00CE7FB9" w:rsidP="00CE7FB9">
            <w:pPr>
              <w:rPr>
                <w:szCs w:val="18"/>
              </w:rPr>
            </w:pPr>
            <w:r>
              <w:rPr>
                <w:szCs w:val="18"/>
              </w:rPr>
              <w:t>Sunny asked if</w:t>
            </w:r>
            <w:r w:rsidR="009812B5" w:rsidRPr="00CE7FB9">
              <w:rPr>
                <w:szCs w:val="18"/>
              </w:rPr>
              <w:t xml:space="preserve"> guided pathways </w:t>
            </w:r>
            <w:r>
              <w:rPr>
                <w:szCs w:val="18"/>
              </w:rPr>
              <w:t xml:space="preserve">is </w:t>
            </w:r>
            <w:r w:rsidR="009812B5" w:rsidRPr="00CE7FB9">
              <w:rPr>
                <w:szCs w:val="18"/>
              </w:rPr>
              <w:t xml:space="preserve">considered </w:t>
            </w:r>
            <w:r w:rsidRPr="00CE7FB9">
              <w:rPr>
                <w:szCs w:val="18"/>
              </w:rPr>
              <w:t>innovative.</w:t>
            </w:r>
            <w:r w:rsidR="009812B5" w:rsidRPr="00CE7FB9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David said that </w:t>
            </w:r>
            <w:r w:rsidR="009812B5" w:rsidRPr="00CE7FB9">
              <w:rPr>
                <w:szCs w:val="18"/>
              </w:rPr>
              <w:t xml:space="preserve">if we look at the documents and rubrics around guided pathways, they call out some </w:t>
            </w:r>
            <w:r>
              <w:rPr>
                <w:szCs w:val="18"/>
              </w:rPr>
              <w:t xml:space="preserve">innovative </w:t>
            </w:r>
            <w:r w:rsidR="009812B5" w:rsidRPr="00CE7FB9">
              <w:rPr>
                <w:szCs w:val="18"/>
              </w:rPr>
              <w:t>practices – for instance, electronic portfolios</w:t>
            </w:r>
            <w:r>
              <w:rPr>
                <w:szCs w:val="18"/>
              </w:rPr>
              <w:t>.</w:t>
            </w:r>
          </w:p>
          <w:p w:rsidR="00CE7FB9" w:rsidRDefault="00CE7FB9" w:rsidP="00CE7FB9">
            <w:pPr>
              <w:rPr>
                <w:szCs w:val="18"/>
              </w:rPr>
            </w:pPr>
          </w:p>
          <w:p w:rsidR="00FC5E0D" w:rsidRPr="00CE7FB9" w:rsidRDefault="00CE7FB9" w:rsidP="00CE7FB9">
            <w:pPr>
              <w:rPr>
                <w:szCs w:val="18"/>
              </w:rPr>
            </w:pPr>
            <w:r>
              <w:rPr>
                <w:szCs w:val="18"/>
              </w:rPr>
              <w:t>David asked if anyone has such a strong objection with these indicators that they can’t see this moving forward. No one objected. It was agreed that we will run with these indicators for now and dig into a deeper conversation. Jason committed</w:t>
            </w:r>
            <w:r w:rsidR="00FC5E0D" w:rsidRPr="00CE7FB9">
              <w:rPr>
                <w:szCs w:val="18"/>
              </w:rPr>
              <w:t xml:space="preserve"> to </w:t>
            </w:r>
            <w:r>
              <w:rPr>
                <w:szCs w:val="18"/>
              </w:rPr>
              <w:t>meeting with</w:t>
            </w:r>
            <w:r w:rsidR="00FC5E0D" w:rsidRPr="00CE7FB9">
              <w:rPr>
                <w:szCs w:val="18"/>
              </w:rPr>
              <w:t xml:space="preserve"> Elizabeth, Carol, and othe</w:t>
            </w:r>
            <w:r>
              <w:rPr>
                <w:szCs w:val="18"/>
              </w:rPr>
              <w:t>rs to discuss further.</w:t>
            </w:r>
          </w:p>
        </w:tc>
      </w:tr>
      <w:tr w:rsidR="00AC36D9" w:rsidTr="00BF0E67">
        <w:trPr>
          <w:trHeight w:val="70"/>
        </w:trPr>
        <w:tc>
          <w:tcPr>
            <w:tcW w:w="1280" w:type="pct"/>
          </w:tcPr>
          <w:p w:rsidR="00AC36D9" w:rsidRDefault="00AC36D9" w:rsidP="00CE7FB9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F</w:t>
            </w:r>
            <w:r w:rsidRPr="0084562E">
              <w:rPr>
                <w:b/>
                <w:sz w:val="24"/>
                <w:szCs w:val="20"/>
              </w:rPr>
              <w:t>orthcoming changes to NWCCU Standards</w:t>
            </w:r>
          </w:p>
        </w:tc>
        <w:tc>
          <w:tcPr>
            <w:tcW w:w="3720" w:type="pct"/>
          </w:tcPr>
          <w:p w:rsidR="00CE4B36" w:rsidRPr="00CE4B36" w:rsidRDefault="00CE4B36" w:rsidP="00CE4B36">
            <w:pPr>
              <w:rPr>
                <w:szCs w:val="18"/>
              </w:rPr>
            </w:pPr>
            <w:r>
              <w:rPr>
                <w:szCs w:val="18"/>
              </w:rPr>
              <w:t xml:space="preserve">Prior to the meeting, Jason </w:t>
            </w:r>
            <w:r w:rsidR="00FC5658">
              <w:rPr>
                <w:szCs w:val="18"/>
              </w:rPr>
              <w:t>sent</w:t>
            </w:r>
            <w:r>
              <w:rPr>
                <w:szCs w:val="18"/>
              </w:rPr>
              <w:t xml:space="preserve"> the committee the</w:t>
            </w:r>
            <w:r w:rsidRPr="00CE4B36">
              <w:rPr>
                <w:szCs w:val="18"/>
              </w:rPr>
              <w:t xml:space="preserve"> </w:t>
            </w:r>
            <w:hyperlink r:id="rId8" w:history="1">
              <w:r w:rsidRPr="00CE4B36">
                <w:rPr>
                  <w:rStyle w:val="Hyperlink"/>
                  <w:szCs w:val="18"/>
                </w:rPr>
                <w:t>old (current) NWCCU standards</w:t>
              </w:r>
            </w:hyperlink>
            <w:r w:rsidRPr="00CE4B36">
              <w:rPr>
                <w:szCs w:val="18"/>
              </w:rPr>
              <w:t xml:space="preserve"> and the </w:t>
            </w:r>
            <w:hyperlink r:id="rId9" w:history="1">
              <w:r w:rsidRPr="00CE4B36">
                <w:rPr>
                  <w:rStyle w:val="Hyperlink"/>
                  <w:szCs w:val="18"/>
                </w:rPr>
                <w:t>proposed revisions</w:t>
              </w:r>
            </w:hyperlink>
            <w:r w:rsidRPr="00CE4B36">
              <w:rPr>
                <w:szCs w:val="18"/>
              </w:rPr>
              <w:t xml:space="preserve">. </w:t>
            </w:r>
          </w:p>
          <w:p w:rsidR="00CE4B36" w:rsidRPr="00CE4B36" w:rsidRDefault="00CE4B36" w:rsidP="00CE4B36">
            <w:pPr>
              <w:rPr>
                <w:szCs w:val="18"/>
              </w:rPr>
            </w:pPr>
          </w:p>
          <w:p w:rsidR="00FC5E0D" w:rsidRDefault="00FC5658" w:rsidP="00161BD5">
            <w:pPr>
              <w:rPr>
                <w:szCs w:val="18"/>
              </w:rPr>
            </w:pPr>
            <w:r>
              <w:rPr>
                <w:szCs w:val="18"/>
              </w:rPr>
              <w:t xml:space="preserve">Jason explained that the </w:t>
            </w:r>
            <w:r w:rsidRPr="00FC5658">
              <w:rPr>
                <w:szCs w:val="18"/>
              </w:rPr>
              <w:t>Northwest Commission on Colleges and Universities</w:t>
            </w:r>
            <w:r>
              <w:rPr>
                <w:szCs w:val="18"/>
              </w:rPr>
              <w:t xml:space="preserve"> (</w:t>
            </w:r>
            <w:r w:rsidR="00FC5E0D" w:rsidRPr="00FC5658">
              <w:rPr>
                <w:szCs w:val="18"/>
              </w:rPr>
              <w:t>NWCCU</w:t>
            </w:r>
            <w:r>
              <w:rPr>
                <w:szCs w:val="18"/>
              </w:rPr>
              <w:t>)</w:t>
            </w:r>
            <w:r w:rsidR="00FC5E0D" w:rsidRPr="00FC5658">
              <w:rPr>
                <w:szCs w:val="18"/>
              </w:rPr>
              <w:t xml:space="preserve"> opened the process by which it is going to revise its standards over the course of the next 12 months</w:t>
            </w:r>
            <w:r>
              <w:rPr>
                <w:szCs w:val="18"/>
              </w:rPr>
              <w:t>.</w:t>
            </w:r>
            <w:r w:rsidR="00161BD5">
              <w:rPr>
                <w:szCs w:val="18"/>
              </w:rPr>
              <w:t xml:space="preserve"> These standards are what all of the accredited colleges in the region have had to measure themselves against.</w:t>
            </w:r>
            <w:r>
              <w:rPr>
                <w:szCs w:val="18"/>
              </w:rPr>
              <w:t xml:space="preserve"> The i</w:t>
            </w:r>
            <w:r w:rsidR="00FC5E0D" w:rsidRPr="00FC5658">
              <w:rPr>
                <w:szCs w:val="18"/>
              </w:rPr>
              <w:t>nitial public comments happened in September of 2018</w:t>
            </w:r>
            <w:r>
              <w:rPr>
                <w:szCs w:val="18"/>
              </w:rPr>
              <w:t>.</w:t>
            </w:r>
            <w:r w:rsidR="00161BD5">
              <w:rPr>
                <w:szCs w:val="18"/>
              </w:rPr>
              <w:t xml:space="preserve"> In the old (current) standards, t</w:t>
            </w:r>
            <w:r w:rsidR="00FC5E0D" w:rsidRPr="00161BD5">
              <w:rPr>
                <w:szCs w:val="18"/>
              </w:rPr>
              <w:t xml:space="preserve">he very notion of core theme was difficult for </w:t>
            </w:r>
            <w:r w:rsidR="00161BD5">
              <w:rPr>
                <w:szCs w:val="18"/>
              </w:rPr>
              <w:t xml:space="preserve">people to get their arms around. The draft standards released by NWCCU are </w:t>
            </w:r>
            <w:r w:rsidR="00FC5E0D" w:rsidRPr="00161BD5">
              <w:rPr>
                <w:szCs w:val="18"/>
              </w:rPr>
              <w:t>significantly shorter than the previous standards</w:t>
            </w:r>
            <w:r w:rsidR="00161BD5">
              <w:rPr>
                <w:szCs w:val="18"/>
              </w:rPr>
              <w:t xml:space="preserve">. These new </w:t>
            </w:r>
            <w:r w:rsidR="00FC5E0D" w:rsidRPr="00161BD5">
              <w:rPr>
                <w:szCs w:val="18"/>
              </w:rPr>
              <w:t xml:space="preserve">standards will </w:t>
            </w:r>
            <w:r w:rsidR="00161BD5">
              <w:rPr>
                <w:szCs w:val="18"/>
              </w:rPr>
              <w:t>go into place in January 2020. W</w:t>
            </w:r>
            <w:r w:rsidR="00FC5E0D" w:rsidRPr="00161BD5">
              <w:rPr>
                <w:szCs w:val="18"/>
              </w:rPr>
              <w:t>e will need to shift to</w:t>
            </w:r>
            <w:r w:rsidR="00161BD5">
              <w:rPr>
                <w:szCs w:val="18"/>
              </w:rPr>
              <w:t xml:space="preserve"> those once they are adopted.</w:t>
            </w:r>
          </w:p>
          <w:p w:rsidR="00161BD5" w:rsidRDefault="00161BD5" w:rsidP="00161BD5">
            <w:pPr>
              <w:rPr>
                <w:szCs w:val="18"/>
              </w:rPr>
            </w:pPr>
          </w:p>
          <w:p w:rsidR="00054869" w:rsidRDefault="00161BD5" w:rsidP="00054869">
            <w:pPr>
              <w:rPr>
                <w:szCs w:val="18"/>
              </w:rPr>
            </w:pPr>
            <w:r>
              <w:rPr>
                <w:szCs w:val="18"/>
              </w:rPr>
              <w:t xml:space="preserve">Jason asked if anyone noticed anything new or different in these new standards. </w:t>
            </w:r>
            <w:r w:rsidR="00054869">
              <w:rPr>
                <w:szCs w:val="18"/>
              </w:rPr>
              <w:t>It was</w:t>
            </w:r>
            <w:r>
              <w:rPr>
                <w:szCs w:val="18"/>
              </w:rPr>
              <w:t xml:space="preserve"> </w:t>
            </w:r>
            <w:r w:rsidR="00054869">
              <w:rPr>
                <w:szCs w:val="18"/>
              </w:rPr>
              <w:t xml:space="preserve">noted that </w:t>
            </w:r>
            <w:r w:rsidR="00FC5E0D" w:rsidRPr="00054869">
              <w:rPr>
                <w:szCs w:val="18"/>
              </w:rPr>
              <w:t>they have removed discussion of general education and related instruction</w:t>
            </w:r>
            <w:r w:rsidR="00054869">
              <w:rPr>
                <w:szCs w:val="18"/>
              </w:rPr>
              <w:t>. They have a</w:t>
            </w:r>
            <w:r w:rsidR="00FC5E0D" w:rsidRPr="00054869">
              <w:rPr>
                <w:szCs w:val="18"/>
              </w:rPr>
              <w:t>dded statements requiring institutional outcomes</w:t>
            </w:r>
            <w:r w:rsidR="00054869">
              <w:rPr>
                <w:szCs w:val="18"/>
              </w:rPr>
              <w:t>. There is l</w:t>
            </w:r>
            <w:r w:rsidR="007605A2" w:rsidRPr="00054869">
              <w:rPr>
                <w:szCs w:val="18"/>
              </w:rPr>
              <w:t>ess emphasis on standards specific to the Board in the new standards</w:t>
            </w:r>
            <w:r w:rsidR="00054869">
              <w:rPr>
                <w:szCs w:val="18"/>
              </w:rPr>
              <w:t>, as well as l</w:t>
            </w:r>
            <w:r w:rsidR="007605A2" w:rsidRPr="00054869">
              <w:rPr>
                <w:szCs w:val="18"/>
              </w:rPr>
              <w:t>ess specific language around noncredit and community education</w:t>
            </w:r>
            <w:r w:rsidR="00054869">
              <w:rPr>
                <w:szCs w:val="18"/>
              </w:rPr>
              <w:t xml:space="preserve">. </w:t>
            </w:r>
            <w:r w:rsidR="007379E7">
              <w:rPr>
                <w:szCs w:val="18"/>
              </w:rPr>
              <w:t xml:space="preserve">There is no mention of core themes. </w:t>
            </w:r>
            <w:r w:rsidR="00054869">
              <w:rPr>
                <w:szCs w:val="18"/>
              </w:rPr>
              <w:t>There is s</w:t>
            </w:r>
            <w:r w:rsidR="007605A2" w:rsidRPr="00054869">
              <w:rPr>
                <w:szCs w:val="18"/>
              </w:rPr>
              <w:t>pecific language around mitigating achievement gaps</w:t>
            </w:r>
            <w:r w:rsidR="00054869">
              <w:rPr>
                <w:szCs w:val="18"/>
              </w:rPr>
              <w:t xml:space="preserve">. There is </w:t>
            </w:r>
            <w:r w:rsidR="007605A2" w:rsidRPr="00054869">
              <w:rPr>
                <w:szCs w:val="18"/>
              </w:rPr>
              <w:t>language around eligibility requirements – we now need to establish indicators that align with indicators of our peer institutions regionally and nationally</w:t>
            </w:r>
            <w:r w:rsidR="00054869">
              <w:rPr>
                <w:szCs w:val="18"/>
              </w:rPr>
              <w:t>.</w:t>
            </w:r>
          </w:p>
          <w:p w:rsidR="007605A2" w:rsidRPr="00054869" w:rsidRDefault="007605A2" w:rsidP="00054869">
            <w:pPr>
              <w:rPr>
                <w:szCs w:val="18"/>
              </w:rPr>
            </w:pPr>
            <w:r w:rsidRPr="00054869">
              <w:rPr>
                <w:szCs w:val="18"/>
              </w:rPr>
              <w:t xml:space="preserve"> </w:t>
            </w:r>
          </w:p>
          <w:p w:rsidR="004670A7" w:rsidRPr="00054869" w:rsidRDefault="00054869" w:rsidP="00054869">
            <w:pPr>
              <w:rPr>
                <w:szCs w:val="18"/>
              </w:rPr>
            </w:pPr>
            <w:r>
              <w:rPr>
                <w:szCs w:val="18"/>
              </w:rPr>
              <w:t>David said that,</w:t>
            </w:r>
            <w:r w:rsidR="004670A7" w:rsidRPr="00054869">
              <w:rPr>
                <w:szCs w:val="18"/>
              </w:rPr>
              <w:t xml:space="preserve"> in our preparation for Year 7, we may want to think</w:t>
            </w:r>
            <w:r>
              <w:rPr>
                <w:szCs w:val="18"/>
              </w:rPr>
              <w:t xml:space="preserve"> about phasing out core themes. He emphasized that</w:t>
            </w:r>
            <w:r w:rsidR="004670A7" w:rsidRPr="00054869">
              <w:rPr>
                <w:szCs w:val="18"/>
              </w:rPr>
              <w:t xml:space="preserve"> the indicators themselves may still be important</w:t>
            </w:r>
            <w:r>
              <w:rPr>
                <w:szCs w:val="18"/>
              </w:rPr>
              <w:t>. We are still s</w:t>
            </w:r>
            <w:r w:rsidR="004670A7" w:rsidRPr="00054869">
              <w:rPr>
                <w:szCs w:val="18"/>
              </w:rPr>
              <w:t>upportin</w:t>
            </w:r>
            <w:r>
              <w:rPr>
                <w:szCs w:val="18"/>
              </w:rPr>
              <w:t xml:space="preserve">g the work of the core themes, but </w:t>
            </w:r>
            <w:r w:rsidR="004670A7" w:rsidRPr="00054869">
              <w:rPr>
                <w:szCs w:val="18"/>
              </w:rPr>
              <w:t>what is the</w:t>
            </w:r>
            <w:r>
              <w:rPr>
                <w:szCs w:val="18"/>
              </w:rPr>
              <w:t xml:space="preserve"> structure now that core themes </w:t>
            </w:r>
            <w:r w:rsidR="004670A7" w:rsidRPr="00054869">
              <w:rPr>
                <w:szCs w:val="18"/>
              </w:rPr>
              <w:t>are going away</w:t>
            </w:r>
            <w:r>
              <w:rPr>
                <w:szCs w:val="18"/>
              </w:rPr>
              <w:t>? W</w:t>
            </w:r>
            <w:r w:rsidR="004670A7" w:rsidRPr="00054869">
              <w:rPr>
                <w:szCs w:val="18"/>
              </w:rPr>
              <w:t>hat is the work we want to do, who supports it, where does it reside</w:t>
            </w:r>
            <w:r>
              <w:rPr>
                <w:szCs w:val="18"/>
              </w:rPr>
              <w:t>?</w:t>
            </w:r>
          </w:p>
          <w:p w:rsidR="00054869" w:rsidRDefault="00054869" w:rsidP="00054869">
            <w:pPr>
              <w:rPr>
                <w:szCs w:val="18"/>
              </w:rPr>
            </w:pPr>
          </w:p>
          <w:p w:rsidR="00935B03" w:rsidRPr="00054869" w:rsidRDefault="009D1991" w:rsidP="00054869">
            <w:pPr>
              <w:rPr>
                <w:szCs w:val="18"/>
              </w:rPr>
            </w:pPr>
            <w:r w:rsidRPr="00054869">
              <w:rPr>
                <w:szCs w:val="18"/>
              </w:rPr>
              <w:t>Jason shared that we received a draft of the mid</w:t>
            </w:r>
            <w:r w:rsidR="001E753A" w:rsidRPr="00054869">
              <w:rPr>
                <w:szCs w:val="18"/>
              </w:rPr>
              <w:t>-</w:t>
            </w:r>
            <w:r w:rsidR="00054869">
              <w:rPr>
                <w:szCs w:val="18"/>
              </w:rPr>
              <w:t>cycle visit report. This draft report is written by the visitors, not by NWCCU. The feedback was generally good and l</w:t>
            </w:r>
            <w:r>
              <w:rPr>
                <w:szCs w:val="18"/>
              </w:rPr>
              <w:t>argely mirrored what they said in person, which was very positive</w:t>
            </w:r>
            <w:r w:rsidR="00054869">
              <w:rPr>
                <w:szCs w:val="18"/>
              </w:rPr>
              <w:t xml:space="preserve">. </w:t>
            </w:r>
            <w:r w:rsidR="00935B03" w:rsidRPr="00054869">
              <w:rPr>
                <w:szCs w:val="18"/>
              </w:rPr>
              <w:t xml:space="preserve">Elizabeth </w:t>
            </w:r>
            <w:r w:rsidR="00054869">
              <w:rPr>
                <w:szCs w:val="18"/>
              </w:rPr>
              <w:t>requested that</w:t>
            </w:r>
            <w:r w:rsidR="00935B03" w:rsidRPr="00054869">
              <w:rPr>
                <w:szCs w:val="18"/>
              </w:rPr>
              <w:t xml:space="preserve"> a summary</w:t>
            </w:r>
            <w:r w:rsidR="00054869">
              <w:rPr>
                <w:szCs w:val="18"/>
              </w:rPr>
              <w:t xml:space="preserve"> of the draft report</w:t>
            </w:r>
            <w:r w:rsidR="00935B03" w:rsidRPr="00054869">
              <w:rPr>
                <w:szCs w:val="18"/>
              </w:rPr>
              <w:t xml:space="preserve"> be sha</w:t>
            </w:r>
            <w:r w:rsidR="00054869">
              <w:rPr>
                <w:szCs w:val="18"/>
              </w:rPr>
              <w:t xml:space="preserve">red with the assessment teams. Jason and David said that </w:t>
            </w:r>
            <w:r w:rsidR="00935B03" w:rsidRPr="00054869">
              <w:rPr>
                <w:szCs w:val="18"/>
              </w:rPr>
              <w:t>we don’t want to share the whole report, as it could change</w:t>
            </w:r>
            <w:r w:rsidR="00054869">
              <w:rPr>
                <w:szCs w:val="18"/>
              </w:rPr>
              <w:t xml:space="preserve">, but a summary could be shared. </w:t>
            </w:r>
          </w:p>
        </w:tc>
      </w:tr>
      <w:tr w:rsidR="00AC36D9" w:rsidTr="00BF0E67">
        <w:trPr>
          <w:trHeight w:val="70"/>
        </w:trPr>
        <w:tc>
          <w:tcPr>
            <w:tcW w:w="1280" w:type="pct"/>
          </w:tcPr>
          <w:p w:rsidR="00AC36D9" w:rsidRDefault="00AC36D9" w:rsidP="0084562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84562E">
              <w:rPr>
                <w:b/>
                <w:sz w:val="24"/>
                <w:szCs w:val="20"/>
              </w:rPr>
              <w:t xml:space="preserve">Potential ramifications related to the changing NWCCU Standards </w:t>
            </w:r>
          </w:p>
        </w:tc>
        <w:tc>
          <w:tcPr>
            <w:tcW w:w="3720" w:type="pct"/>
          </w:tcPr>
          <w:p w:rsidR="00935B03" w:rsidRPr="000F32C8" w:rsidRDefault="000F32C8" w:rsidP="000F32C8">
            <w:pPr>
              <w:rPr>
                <w:szCs w:val="18"/>
              </w:rPr>
            </w:pPr>
            <w:r>
              <w:rPr>
                <w:szCs w:val="18"/>
              </w:rPr>
              <w:t xml:space="preserve">Jason requested that committee members dig into the changes and </w:t>
            </w:r>
            <w:r w:rsidR="00935B03" w:rsidRPr="000F32C8">
              <w:rPr>
                <w:szCs w:val="18"/>
              </w:rPr>
              <w:t>be ready to raise questions, comments, and concerns</w:t>
            </w:r>
            <w:r>
              <w:rPr>
                <w:szCs w:val="18"/>
              </w:rPr>
              <w:t>. We need to m</w:t>
            </w:r>
            <w:r w:rsidR="00935B03" w:rsidRPr="000F32C8">
              <w:rPr>
                <w:szCs w:val="18"/>
              </w:rPr>
              <w:t>ake sure that we stay focused on those things we identified as priori</w:t>
            </w:r>
            <w:r>
              <w:rPr>
                <w:szCs w:val="18"/>
              </w:rPr>
              <w:t xml:space="preserve">ties so we can support the work. </w:t>
            </w:r>
            <w:r w:rsidR="00935B03" w:rsidRPr="000F32C8">
              <w:rPr>
                <w:szCs w:val="18"/>
              </w:rPr>
              <w:t>David pointed out that there is overlap between our current strategic priorit</w:t>
            </w:r>
            <w:r>
              <w:rPr>
                <w:szCs w:val="18"/>
              </w:rPr>
              <w:t>ies and some of the core themes.</w:t>
            </w:r>
          </w:p>
        </w:tc>
      </w:tr>
      <w:tr w:rsidR="00AC36D9" w:rsidTr="00BF0E67">
        <w:trPr>
          <w:trHeight w:val="70"/>
        </w:trPr>
        <w:tc>
          <w:tcPr>
            <w:tcW w:w="1280" w:type="pct"/>
          </w:tcPr>
          <w:p w:rsidR="00AC36D9" w:rsidRDefault="00AC36D9" w:rsidP="0084562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84562E">
              <w:rPr>
                <w:b/>
                <w:sz w:val="24"/>
                <w:szCs w:val="20"/>
              </w:rPr>
              <w:t>Update on Strategic Planning</w:t>
            </w:r>
          </w:p>
        </w:tc>
        <w:tc>
          <w:tcPr>
            <w:tcW w:w="3720" w:type="pct"/>
          </w:tcPr>
          <w:p w:rsidR="008E4344" w:rsidRPr="00AC32B1" w:rsidRDefault="00935B03" w:rsidP="00AC32B1">
            <w:pPr>
              <w:rPr>
                <w:szCs w:val="18"/>
              </w:rPr>
            </w:pPr>
            <w:r w:rsidRPr="006C49C4">
              <w:rPr>
                <w:szCs w:val="18"/>
              </w:rPr>
              <w:t xml:space="preserve">Over the last 5-6 months, Jason </w:t>
            </w:r>
            <w:r w:rsidR="006C49C4">
              <w:rPr>
                <w:szCs w:val="18"/>
              </w:rPr>
              <w:t>received</w:t>
            </w:r>
            <w:r w:rsidRPr="006C49C4">
              <w:rPr>
                <w:szCs w:val="18"/>
              </w:rPr>
              <w:t xml:space="preserve"> permission to work with 16 folks ac</w:t>
            </w:r>
            <w:r w:rsidR="006C49C4">
              <w:rPr>
                <w:szCs w:val="18"/>
              </w:rPr>
              <w:t>ross campus to discuss planning and</w:t>
            </w:r>
            <w:r w:rsidRPr="006C49C4">
              <w:rPr>
                <w:szCs w:val="18"/>
              </w:rPr>
              <w:t xml:space="preserve"> recommendations</w:t>
            </w:r>
            <w:r w:rsidR="006C49C4">
              <w:rPr>
                <w:szCs w:val="18"/>
              </w:rPr>
              <w:t xml:space="preserve"> for strategic planning. </w:t>
            </w:r>
            <w:r w:rsidRPr="006C49C4">
              <w:rPr>
                <w:szCs w:val="18"/>
              </w:rPr>
              <w:t>Now seems like the right time to refresh the strategic plan</w:t>
            </w:r>
            <w:r w:rsidR="006C49C4">
              <w:rPr>
                <w:szCs w:val="18"/>
              </w:rPr>
              <w:t xml:space="preserve">. The process will </w:t>
            </w:r>
            <w:r w:rsidR="006C49C4">
              <w:rPr>
                <w:szCs w:val="18"/>
              </w:rPr>
              <w:lastRenderedPageBreak/>
              <w:t>s</w:t>
            </w:r>
            <w:r w:rsidRPr="006C49C4">
              <w:rPr>
                <w:szCs w:val="18"/>
              </w:rPr>
              <w:t>tart this summer, fall and over the next couple of years</w:t>
            </w:r>
            <w:r w:rsidR="006C49C4">
              <w:rPr>
                <w:szCs w:val="18"/>
              </w:rPr>
              <w:t>. The g</w:t>
            </w:r>
            <w:r w:rsidRPr="006C49C4">
              <w:rPr>
                <w:szCs w:val="18"/>
              </w:rPr>
              <w:t xml:space="preserve">oal </w:t>
            </w:r>
            <w:r w:rsidR="006C49C4">
              <w:rPr>
                <w:szCs w:val="18"/>
              </w:rPr>
              <w:t>is to have</w:t>
            </w:r>
            <w:r w:rsidRPr="006C49C4">
              <w:rPr>
                <w:szCs w:val="18"/>
              </w:rPr>
              <w:t xml:space="preserve"> a new plan ready for </w:t>
            </w:r>
            <w:r w:rsidR="006C49C4">
              <w:rPr>
                <w:szCs w:val="18"/>
              </w:rPr>
              <w:t xml:space="preserve">fall 2021. This </w:t>
            </w:r>
            <w:r w:rsidRPr="006C49C4">
              <w:rPr>
                <w:szCs w:val="18"/>
              </w:rPr>
              <w:t>gives us 2+ years to do community engagement work and critical thinking</w:t>
            </w:r>
            <w:r w:rsidR="006C49C4">
              <w:rPr>
                <w:szCs w:val="18"/>
              </w:rPr>
              <w:t>. Jason said that we are l</w:t>
            </w:r>
            <w:r w:rsidRPr="006C49C4">
              <w:rPr>
                <w:szCs w:val="18"/>
              </w:rPr>
              <w:t>ikely to involve a consultan</w:t>
            </w:r>
            <w:r w:rsidR="006C49C4">
              <w:rPr>
                <w:szCs w:val="18"/>
              </w:rPr>
              <w:t>t. There will be a Strategic Planning Leadership T</w:t>
            </w:r>
            <w:r w:rsidRPr="006C49C4">
              <w:rPr>
                <w:szCs w:val="18"/>
              </w:rPr>
              <w:t xml:space="preserve">eam </w:t>
            </w:r>
            <w:r w:rsidR="006C49C4">
              <w:rPr>
                <w:szCs w:val="18"/>
              </w:rPr>
              <w:t xml:space="preserve">created to shepherd the work. This team will </w:t>
            </w:r>
            <w:r w:rsidRPr="006C49C4">
              <w:rPr>
                <w:szCs w:val="18"/>
              </w:rPr>
              <w:t>includ</w:t>
            </w:r>
            <w:r w:rsidR="006C49C4">
              <w:rPr>
                <w:szCs w:val="18"/>
              </w:rPr>
              <w:t>e</w:t>
            </w:r>
            <w:r w:rsidRPr="006C49C4">
              <w:rPr>
                <w:szCs w:val="18"/>
              </w:rPr>
              <w:t xml:space="preserve"> a board member, community member, </w:t>
            </w:r>
            <w:r w:rsidR="006C49C4">
              <w:rPr>
                <w:szCs w:val="18"/>
              </w:rPr>
              <w:t>as well as</w:t>
            </w:r>
            <w:r w:rsidRPr="006C49C4">
              <w:rPr>
                <w:szCs w:val="18"/>
              </w:rPr>
              <w:t xml:space="preserve"> faculty and staff</w:t>
            </w:r>
            <w:r w:rsidR="006C49C4">
              <w:rPr>
                <w:szCs w:val="18"/>
              </w:rPr>
              <w:t>.</w:t>
            </w:r>
            <w:r w:rsidRPr="006C49C4">
              <w:rPr>
                <w:szCs w:val="18"/>
              </w:rPr>
              <w:t xml:space="preserve"> </w:t>
            </w:r>
            <w:r w:rsidR="00AC32B1">
              <w:rPr>
                <w:szCs w:val="18"/>
              </w:rPr>
              <w:t>Jason said that we will m</w:t>
            </w:r>
            <w:r w:rsidRPr="00AC32B1">
              <w:rPr>
                <w:szCs w:val="18"/>
              </w:rPr>
              <w:t>ake a concerted effort to pull together a lot of the environmental scanning w</w:t>
            </w:r>
            <w:r w:rsidR="00AC32B1">
              <w:rPr>
                <w:szCs w:val="18"/>
              </w:rPr>
              <w:t>ork that has already been done in order to c</w:t>
            </w:r>
            <w:r w:rsidRPr="00AC32B1">
              <w:rPr>
                <w:szCs w:val="18"/>
              </w:rPr>
              <w:t>reate one integrated environmental scan for the college and let that be a touchstone for future strategic planning work</w:t>
            </w:r>
            <w:r w:rsidR="00AC32B1">
              <w:rPr>
                <w:szCs w:val="18"/>
              </w:rPr>
              <w:t xml:space="preserve">. David said that the </w:t>
            </w:r>
            <w:r w:rsidR="00032E52" w:rsidRPr="00AC32B1">
              <w:rPr>
                <w:szCs w:val="18"/>
              </w:rPr>
              <w:t xml:space="preserve">charge of </w:t>
            </w:r>
            <w:r w:rsidR="00AC32B1">
              <w:rPr>
                <w:szCs w:val="18"/>
              </w:rPr>
              <w:t xml:space="preserve">the Mission Fulfillment Committee remains the same, </w:t>
            </w:r>
            <w:r w:rsidR="00032E52" w:rsidRPr="00AC32B1">
              <w:rPr>
                <w:szCs w:val="18"/>
              </w:rPr>
              <w:t xml:space="preserve">but there may be some members of this group that will </w:t>
            </w:r>
            <w:r w:rsidR="00AC32B1">
              <w:rPr>
                <w:szCs w:val="18"/>
              </w:rPr>
              <w:t xml:space="preserve">also </w:t>
            </w:r>
            <w:r w:rsidR="00032E52" w:rsidRPr="00AC32B1">
              <w:rPr>
                <w:szCs w:val="18"/>
              </w:rPr>
              <w:t xml:space="preserve">be on the </w:t>
            </w:r>
            <w:r w:rsidR="00AC32B1">
              <w:rPr>
                <w:szCs w:val="18"/>
              </w:rPr>
              <w:t>S</w:t>
            </w:r>
            <w:r w:rsidR="00032E52" w:rsidRPr="00AC32B1">
              <w:rPr>
                <w:szCs w:val="18"/>
              </w:rPr>
              <w:t xml:space="preserve">trategic </w:t>
            </w:r>
            <w:r w:rsidR="00AC32B1">
              <w:rPr>
                <w:szCs w:val="18"/>
              </w:rPr>
              <w:t>Planning Leadership T</w:t>
            </w:r>
            <w:r w:rsidR="00032E52" w:rsidRPr="00AC32B1">
              <w:rPr>
                <w:szCs w:val="18"/>
              </w:rPr>
              <w:t>eam</w:t>
            </w:r>
            <w:r w:rsidR="00AC32B1">
              <w:rPr>
                <w:szCs w:val="18"/>
              </w:rPr>
              <w:t>.</w:t>
            </w:r>
          </w:p>
        </w:tc>
      </w:tr>
      <w:tr w:rsidR="00AC36D9" w:rsidTr="00BF0E67">
        <w:trPr>
          <w:trHeight w:val="422"/>
        </w:trPr>
        <w:tc>
          <w:tcPr>
            <w:tcW w:w="1280" w:type="pct"/>
          </w:tcPr>
          <w:p w:rsidR="00AC36D9" w:rsidRPr="00436E2F" w:rsidRDefault="00AC36D9" w:rsidP="003B3CDC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 xml:space="preserve">Review commitments </w:t>
            </w:r>
          </w:p>
        </w:tc>
        <w:tc>
          <w:tcPr>
            <w:tcW w:w="3720" w:type="pct"/>
          </w:tcPr>
          <w:p w:rsidR="00AC36D9" w:rsidRDefault="00782C1A" w:rsidP="00D73605">
            <w:pPr>
              <w:pStyle w:val="ListParagraph"/>
              <w:numPr>
                <w:ilvl w:val="0"/>
                <w:numId w:val="27"/>
              </w:numPr>
              <w:rPr>
                <w:szCs w:val="18"/>
              </w:rPr>
            </w:pPr>
            <w:r>
              <w:rPr>
                <w:szCs w:val="18"/>
              </w:rPr>
              <w:t xml:space="preserve">Jason </w:t>
            </w:r>
            <w:r w:rsidR="00754753">
              <w:rPr>
                <w:szCs w:val="18"/>
              </w:rPr>
              <w:t xml:space="preserve">committed to meeting with </w:t>
            </w:r>
            <w:r>
              <w:rPr>
                <w:szCs w:val="18"/>
              </w:rPr>
              <w:t>Carol, Elizabeth</w:t>
            </w:r>
            <w:r w:rsidR="00754753">
              <w:rPr>
                <w:szCs w:val="18"/>
              </w:rPr>
              <w:t>,</w:t>
            </w:r>
            <w:r>
              <w:rPr>
                <w:szCs w:val="18"/>
              </w:rPr>
              <w:t xml:space="preserve"> and others to define</w:t>
            </w:r>
            <w:r w:rsidR="00754753">
              <w:rPr>
                <w:szCs w:val="18"/>
              </w:rPr>
              <w:t xml:space="preserve"> the</w:t>
            </w:r>
            <w:r>
              <w:rPr>
                <w:szCs w:val="18"/>
              </w:rPr>
              <w:t xml:space="preserve"> terms we’re </w:t>
            </w:r>
            <w:r w:rsidR="00754753">
              <w:rPr>
                <w:szCs w:val="18"/>
              </w:rPr>
              <w:t>using</w:t>
            </w:r>
            <w:r>
              <w:rPr>
                <w:szCs w:val="18"/>
              </w:rPr>
              <w:t xml:space="preserve"> for academic relevance and innovation</w:t>
            </w:r>
            <w:r w:rsidR="00543D4B">
              <w:rPr>
                <w:szCs w:val="18"/>
              </w:rPr>
              <w:t>.</w:t>
            </w:r>
          </w:p>
          <w:p w:rsidR="00782C1A" w:rsidRDefault="00754753" w:rsidP="00754753">
            <w:pPr>
              <w:pStyle w:val="ListParagraph"/>
              <w:numPr>
                <w:ilvl w:val="0"/>
                <w:numId w:val="27"/>
              </w:numPr>
              <w:rPr>
                <w:szCs w:val="18"/>
              </w:rPr>
            </w:pPr>
            <w:r>
              <w:rPr>
                <w:szCs w:val="18"/>
              </w:rPr>
              <w:t>Jason committed to revising</w:t>
            </w:r>
            <w:r w:rsidR="00782C1A">
              <w:rPr>
                <w:szCs w:val="18"/>
              </w:rPr>
              <w:t xml:space="preserve"> </w:t>
            </w:r>
            <w:r w:rsidRPr="00754753">
              <w:rPr>
                <w:szCs w:val="18"/>
              </w:rPr>
              <w:t xml:space="preserve">Academic Relevance and Innovation </w:t>
            </w:r>
            <w:r w:rsidR="00782C1A">
              <w:rPr>
                <w:szCs w:val="18"/>
              </w:rPr>
              <w:t>indicator #3 to r</w:t>
            </w:r>
            <w:r>
              <w:rPr>
                <w:szCs w:val="18"/>
              </w:rPr>
              <w:t xml:space="preserve">eflect the number of applications, </w:t>
            </w:r>
            <w:r w:rsidR="00782C1A">
              <w:rPr>
                <w:szCs w:val="18"/>
              </w:rPr>
              <w:t>not number of faculty</w:t>
            </w:r>
            <w:r w:rsidR="00543D4B">
              <w:rPr>
                <w:szCs w:val="18"/>
              </w:rPr>
              <w:t>.</w:t>
            </w:r>
          </w:p>
          <w:p w:rsidR="000F32C8" w:rsidRDefault="003F686D" w:rsidP="00754753">
            <w:pPr>
              <w:pStyle w:val="ListParagraph"/>
              <w:numPr>
                <w:ilvl w:val="0"/>
                <w:numId w:val="27"/>
              </w:numPr>
              <w:rPr>
                <w:szCs w:val="18"/>
              </w:rPr>
            </w:pPr>
            <w:r>
              <w:rPr>
                <w:szCs w:val="18"/>
              </w:rPr>
              <w:t>Elizabeth will create</w:t>
            </w:r>
            <w:r w:rsidR="000F32C8">
              <w:rPr>
                <w:szCs w:val="18"/>
              </w:rPr>
              <w:t xml:space="preserve"> a summary of the draft mid-cycle visit report </w:t>
            </w:r>
            <w:r>
              <w:rPr>
                <w:szCs w:val="18"/>
              </w:rPr>
              <w:t>to be shared with</w:t>
            </w:r>
            <w:bookmarkStart w:id="0" w:name="_GoBack"/>
            <w:bookmarkEnd w:id="0"/>
            <w:r w:rsidR="000F32C8">
              <w:rPr>
                <w:szCs w:val="18"/>
              </w:rPr>
              <w:t xml:space="preserve"> assessment teams</w:t>
            </w:r>
            <w:r w:rsidR="00543D4B">
              <w:rPr>
                <w:szCs w:val="18"/>
              </w:rPr>
              <w:t>.</w:t>
            </w:r>
          </w:p>
          <w:p w:rsidR="000F32C8" w:rsidRPr="000F32C8" w:rsidRDefault="00754753" w:rsidP="000F32C8">
            <w:pPr>
              <w:pStyle w:val="ListParagraph"/>
              <w:numPr>
                <w:ilvl w:val="0"/>
                <w:numId w:val="27"/>
              </w:numPr>
              <w:rPr>
                <w:szCs w:val="18"/>
              </w:rPr>
            </w:pPr>
            <w:r>
              <w:rPr>
                <w:szCs w:val="18"/>
              </w:rPr>
              <w:t>Jason asked committee members to review the</w:t>
            </w:r>
            <w:r w:rsidR="00782C1A">
              <w:rPr>
                <w:szCs w:val="18"/>
              </w:rPr>
              <w:t xml:space="preserve"> </w:t>
            </w:r>
            <w:hyperlink r:id="rId10" w:history="1">
              <w:r w:rsidRPr="00CE4B36">
                <w:rPr>
                  <w:rStyle w:val="Hyperlink"/>
                  <w:szCs w:val="18"/>
                </w:rPr>
                <w:t>old (current) NWCCU standards</w:t>
              </w:r>
            </w:hyperlink>
            <w:r w:rsidRPr="00CE4B36">
              <w:rPr>
                <w:szCs w:val="18"/>
              </w:rPr>
              <w:t xml:space="preserve"> and the </w:t>
            </w:r>
            <w:hyperlink r:id="rId11" w:history="1">
              <w:r w:rsidRPr="00CE4B36">
                <w:rPr>
                  <w:rStyle w:val="Hyperlink"/>
                  <w:szCs w:val="18"/>
                </w:rPr>
                <w:t>proposed revisions</w:t>
              </w:r>
            </w:hyperlink>
            <w:r w:rsidR="00543D4B">
              <w:rPr>
                <w:szCs w:val="18"/>
              </w:rPr>
              <w:t>.</w:t>
            </w:r>
          </w:p>
        </w:tc>
      </w:tr>
    </w:tbl>
    <w:p w:rsidR="00492FEF" w:rsidRPr="00D73A72" w:rsidRDefault="00492FEF">
      <w:pPr>
        <w:rPr>
          <w:sz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7"/>
        <w:gridCol w:w="2668"/>
        <w:gridCol w:w="2061"/>
        <w:gridCol w:w="5494"/>
      </w:tblGrid>
      <w:tr w:rsidR="0026738A" w:rsidRPr="00EE5430" w:rsidTr="00106580">
        <w:trPr>
          <w:trHeight w:val="425"/>
        </w:trPr>
        <w:tc>
          <w:tcPr>
            <w:tcW w:w="1448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Future 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Meeting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27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16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End T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1909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385738" w:rsidRPr="00242BA5" w:rsidTr="00106580">
        <w:trPr>
          <w:trHeight w:val="334"/>
        </w:trPr>
        <w:tc>
          <w:tcPr>
            <w:tcW w:w="1448" w:type="pct"/>
            <w:vAlign w:val="center"/>
          </w:tcPr>
          <w:p w:rsidR="00385738" w:rsidRDefault="002A153B" w:rsidP="00436E2F">
            <w:pPr>
              <w:jc w:val="center"/>
              <w:rPr>
                <w:b/>
              </w:rPr>
            </w:pPr>
            <w:r>
              <w:rPr>
                <w:b/>
              </w:rPr>
              <w:t>None currently scheduled</w:t>
            </w:r>
          </w:p>
        </w:tc>
        <w:tc>
          <w:tcPr>
            <w:tcW w:w="927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  <w:tc>
          <w:tcPr>
            <w:tcW w:w="1909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</w:tr>
    </w:tbl>
    <w:p w:rsidR="00E12FFF" w:rsidRDefault="00E12FFF" w:rsidP="00703D29"/>
    <w:p w:rsidR="00EB3901" w:rsidRDefault="000B3D20" w:rsidP="00A56541">
      <w:r w:rsidRPr="00A56541">
        <w:rPr>
          <w:sz w:val="20"/>
        </w:rPr>
        <w:t xml:space="preserve"> </w:t>
      </w:r>
    </w:p>
    <w:sectPr w:rsidR="00EB3901" w:rsidSect="001203E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D3" w:rsidRDefault="00A626D3" w:rsidP="00B3679E">
      <w:r>
        <w:separator/>
      </w:r>
    </w:p>
  </w:endnote>
  <w:endnote w:type="continuationSeparator" w:id="0">
    <w:p w:rsidR="00A626D3" w:rsidRDefault="00A626D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D3" w:rsidRDefault="00A626D3" w:rsidP="00B3679E">
      <w:r>
        <w:separator/>
      </w:r>
    </w:p>
  </w:footnote>
  <w:footnote w:type="continuationSeparator" w:id="0">
    <w:p w:rsidR="00A626D3" w:rsidRDefault="00A626D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825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1420C"/>
    <w:multiLevelType w:val="hybridMultilevel"/>
    <w:tmpl w:val="D9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4557"/>
    <w:multiLevelType w:val="hybridMultilevel"/>
    <w:tmpl w:val="98823698"/>
    <w:lvl w:ilvl="0" w:tplc="E93C62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1ED"/>
    <w:multiLevelType w:val="hybridMultilevel"/>
    <w:tmpl w:val="A39E9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5B5B"/>
    <w:multiLevelType w:val="hybridMultilevel"/>
    <w:tmpl w:val="08B0B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C5619"/>
    <w:multiLevelType w:val="hybridMultilevel"/>
    <w:tmpl w:val="BD060A06"/>
    <w:lvl w:ilvl="0" w:tplc="FF4472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3429D1"/>
    <w:multiLevelType w:val="hybridMultilevel"/>
    <w:tmpl w:val="C084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530D3"/>
    <w:multiLevelType w:val="hybridMultilevel"/>
    <w:tmpl w:val="A1CE0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00A6B"/>
    <w:multiLevelType w:val="hybridMultilevel"/>
    <w:tmpl w:val="DEA26B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03B6"/>
    <w:multiLevelType w:val="hybridMultilevel"/>
    <w:tmpl w:val="05CCB0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000F2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D2279"/>
    <w:multiLevelType w:val="hybridMultilevel"/>
    <w:tmpl w:val="5DAE3E48"/>
    <w:lvl w:ilvl="0" w:tplc="C836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CE6BC0"/>
    <w:multiLevelType w:val="hybridMultilevel"/>
    <w:tmpl w:val="DACE90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EF5F5F"/>
    <w:multiLevelType w:val="hybridMultilevel"/>
    <w:tmpl w:val="170E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121F"/>
    <w:multiLevelType w:val="hybridMultilevel"/>
    <w:tmpl w:val="83EC8882"/>
    <w:lvl w:ilvl="0" w:tplc="51D00AC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110C2A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4"/>
  </w:num>
  <w:num w:numId="8">
    <w:abstractNumId w:val="17"/>
  </w:num>
  <w:num w:numId="9">
    <w:abstractNumId w:val="20"/>
  </w:num>
  <w:num w:numId="10">
    <w:abstractNumId w:val="26"/>
  </w:num>
  <w:num w:numId="11">
    <w:abstractNumId w:val="10"/>
  </w:num>
  <w:num w:numId="12">
    <w:abstractNumId w:val="2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2"/>
  </w:num>
  <w:num w:numId="17">
    <w:abstractNumId w:val="11"/>
  </w:num>
  <w:num w:numId="18">
    <w:abstractNumId w:val="25"/>
  </w:num>
  <w:num w:numId="19">
    <w:abstractNumId w:val="18"/>
  </w:num>
  <w:num w:numId="20">
    <w:abstractNumId w:val="1"/>
  </w:num>
  <w:num w:numId="21">
    <w:abstractNumId w:val="28"/>
  </w:num>
  <w:num w:numId="22">
    <w:abstractNumId w:val="16"/>
  </w:num>
  <w:num w:numId="23">
    <w:abstractNumId w:val="27"/>
  </w:num>
  <w:num w:numId="24">
    <w:abstractNumId w:val="15"/>
  </w:num>
  <w:num w:numId="25">
    <w:abstractNumId w:val="13"/>
  </w:num>
  <w:num w:numId="26">
    <w:abstractNumId w:val="6"/>
  </w:num>
  <w:num w:numId="27">
    <w:abstractNumId w:val="8"/>
  </w:num>
  <w:num w:numId="28">
    <w:abstractNumId w:val="7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3F01"/>
    <w:rsid w:val="000112A3"/>
    <w:rsid w:val="000249B8"/>
    <w:rsid w:val="0002612D"/>
    <w:rsid w:val="00032445"/>
    <w:rsid w:val="00032E52"/>
    <w:rsid w:val="00034C51"/>
    <w:rsid w:val="000420E2"/>
    <w:rsid w:val="000435D0"/>
    <w:rsid w:val="00051E5C"/>
    <w:rsid w:val="00053D2B"/>
    <w:rsid w:val="00054869"/>
    <w:rsid w:val="00055A26"/>
    <w:rsid w:val="0005772E"/>
    <w:rsid w:val="00064467"/>
    <w:rsid w:val="00066120"/>
    <w:rsid w:val="00066476"/>
    <w:rsid w:val="00066A60"/>
    <w:rsid w:val="000710D0"/>
    <w:rsid w:val="0007288F"/>
    <w:rsid w:val="000728B8"/>
    <w:rsid w:val="00076B0A"/>
    <w:rsid w:val="000772F5"/>
    <w:rsid w:val="0008139B"/>
    <w:rsid w:val="0008377A"/>
    <w:rsid w:val="0008676B"/>
    <w:rsid w:val="00086AAE"/>
    <w:rsid w:val="00087841"/>
    <w:rsid w:val="00094648"/>
    <w:rsid w:val="00097A48"/>
    <w:rsid w:val="000A21AD"/>
    <w:rsid w:val="000A54E1"/>
    <w:rsid w:val="000A63A5"/>
    <w:rsid w:val="000A734E"/>
    <w:rsid w:val="000B3123"/>
    <w:rsid w:val="000B3D20"/>
    <w:rsid w:val="000B49CE"/>
    <w:rsid w:val="000B4DE7"/>
    <w:rsid w:val="000C4F95"/>
    <w:rsid w:val="000C6147"/>
    <w:rsid w:val="000C7B39"/>
    <w:rsid w:val="000D18D8"/>
    <w:rsid w:val="000D1F27"/>
    <w:rsid w:val="000D6135"/>
    <w:rsid w:val="000D7015"/>
    <w:rsid w:val="000D7B7D"/>
    <w:rsid w:val="000E07D5"/>
    <w:rsid w:val="000F32C8"/>
    <w:rsid w:val="000F5500"/>
    <w:rsid w:val="00102AFF"/>
    <w:rsid w:val="00103295"/>
    <w:rsid w:val="00106580"/>
    <w:rsid w:val="00106A54"/>
    <w:rsid w:val="00111C46"/>
    <w:rsid w:val="00115D1B"/>
    <w:rsid w:val="00115D40"/>
    <w:rsid w:val="001203E7"/>
    <w:rsid w:val="00120F6F"/>
    <w:rsid w:val="0012451F"/>
    <w:rsid w:val="0013476F"/>
    <w:rsid w:val="00137A97"/>
    <w:rsid w:val="00147A8A"/>
    <w:rsid w:val="0015277C"/>
    <w:rsid w:val="00161BD5"/>
    <w:rsid w:val="00162A82"/>
    <w:rsid w:val="001634F3"/>
    <w:rsid w:val="00164C80"/>
    <w:rsid w:val="00166E18"/>
    <w:rsid w:val="00167C13"/>
    <w:rsid w:val="0017093F"/>
    <w:rsid w:val="001720CA"/>
    <w:rsid w:val="001853B9"/>
    <w:rsid w:val="0018793C"/>
    <w:rsid w:val="00187BF9"/>
    <w:rsid w:val="00193985"/>
    <w:rsid w:val="00194475"/>
    <w:rsid w:val="001A0E40"/>
    <w:rsid w:val="001A1F8D"/>
    <w:rsid w:val="001A6127"/>
    <w:rsid w:val="001B1836"/>
    <w:rsid w:val="001B3347"/>
    <w:rsid w:val="001B68F7"/>
    <w:rsid w:val="001B76E4"/>
    <w:rsid w:val="001C519E"/>
    <w:rsid w:val="001C5426"/>
    <w:rsid w:val="001C6757"/>
    <w:rsid w:val="001C7812"/>
    <w:rsid w:val="001C7F8B"/>
    <w:rsid w:val="001D0466"/>
    <w:rsid w:val="001D08A7"/>
    <w:rsid w:val="001D0B30"/>
    <w:rsid w:val="001D3A8E"/>
    <w:rsid w:val="001D717A"/>
    <w:rsid w:val="001E6951"/>
    <w:rsid w:val="001E753A"/>
    <w:rsid w:val="001F106A"/>
    <w:rsid w:val="001F3FF2"/>
    <w:rsid w:val="001F7994"/>
    <w:rsid w:val="00210EBC"/>
    <w:rsid w:val="002210ED"/>
    <w:rsid w:val="00223042"/>
    <w:rsid w:val="00233C00"/>
    <w:rsid w:val="00233FD5"/>
    <w:rsid w:val="002345E2"/>
    <w:rsid w:val="002346C6"/>
    <w:rsid w:val="002372C3"/>
    <w:rsid w:val="002378AF"/>
    <w:rsid w:val="00242BA5"/>
    <w:rsid w:val="00242FDA"/>
    <w:rsid w:val="0024375C"/>
    <w:rsid w:val="002525DE"/>
    <w:rsid w:val="002607DC"/>
    <w:rsid w:val="002629EA"/>
    <w:rsid w:val="00265C09"/>
    <w:rsid w:val="0026738A"/>
    <w:rsid w:val="00270B5F"/>
    <w:rsid w:val="002716C0"/>
    <w:rsid w:val="00273207"/>
    <w:rsid w:val="00290F9B"/>
    <w:rsid w:val="00292666"/>
    <w:rsid w:val="002978C8"/>
    <w:rsid w:val="002A153B"/>
    <w:rsid w:val="002A18C7"/>
    <w:rsid w:val="002A3420"/>
    <w:rsid w:val="002A5DA9"/>
    <w:rsid w:val="002A70BF"/>
    <w:rsid w:val="002B4F82"/>
    <w:rsid w:val="002C3FB3"/>
    <w:rsid w:val="002C70C4"/>
    <w:rsid w:val="002C7150"/>
    <w:rsid w:val="002C7246"/>
    <w:rsid w:val="002D03F9"/>
    <w:rsid w:val="002D5F0E"/>
    <w:rsid w:val="002D6909"/>
    <w:rsid w:val="002D737B"/>
    <w:rsid w:val="002E6690"/>
    <w:rsid w:val="002E6BD0"/>
    <w:rsid w:val="002E7D2A"/>
    <w:rsid w:val="002F2775"/>
    <w:rsid w:val="002F34CE"/>
    <w:rsid w:val="002F58F8"/>
    <w:rsid w:val="002F608B"/>
    <w:rsid w:val="00307337"/>
    <w:rsid w:val="00310C95"/>
    <w:rsid w:val="00310D6A"/>
    <w:rsid w:val="00313F48"/>
    <w:rsid w:val="003148D8"/>
    <w:rsid w:val="00314AC5"/>
    <w:rsid w:val="00316D63"/>
    <w:rsid w:val="003235DF"/>
    <w:rsid w:val="00334FCA"/>
    <w:rsid w:val="00335658"/>
    <w:rsid w:val="00335BED"/>
    <w:rsid w:val="00336538"/>
    <w:rsid w:val="00337EB9"/>
    <w:rsid w:val="00340830"/>
    <w:rsid w:val="00342361"/>
    <w:rsid w:val="0034296E"/>
    <w:rsid w:val="00346214"/>
    <w:rsid w:val="00353EE9"/>
    <w:rsid w:val="00356A31"/>
    <w:rsid w:val="003579BC"/>
    <w:rsid w:val="003626CF"/>
    <w:rsid w:val="00366554"/>
    <w:rsid w:val="00370DBF"/>
    <w:rsid w:val="00372DC5"/>
    <w:rsid w:val="00377D5C"/>
    <w:rsid w:val="00385738"/>
    <w:rsid w:val="003905AE"/>
    <w:rsid w:val="003927B9"/>
    <w:rsid w:val="003934E9"/>
    <w:rsid w:val="003A314A"/>
    <w:rsid w:val="003A418F"/>
    <w:rsid w:val="003A4FE3"/>
    <w:rsid w:val="003B3CDC"/>
    <w:rsid w:val="003B4961"/>
    <w:rsid w:val="003C0246"/>
    <w:rsid w:val="003C254A"/>
    <w:rsid w:val="003C7074"/>
    <w:rsid w:val="003D0F7B"/>
    <w:rsid w:val="003D22DF"/>
    <w:rsid w:val="003D4D16"/>
    <w:rsid w:val="003E04BB"/>
    <w:rsid w:val="003E12CD"/>
    <w:rsid w:val="003E41CE"/>
    <w:rsid w:val="003E5945"/>
    <w:rsid w:val="003E5D32"/>
    <w:rsid w:val="003F44E0"/>
    <w:rsid w:val="003F686D"/>
    <w:rsid w:val="003F7E67"/>
    <w:rsid w:val="00400896"/>
    <w:rsid w:val="0040490E"/>
    <w:rsid w:val="004146A5"/>
    <w:rsid w:val="00416459"/>
    <w:rsid w:val="00420653"/>
    <w:rsid w:val="00421198"/>
    <w:rsid w:val="00425F6D"/>
    <w:rsid w:val="00436E2F"/>
    <w:rsid w:val="004426DA"/>
    <w:rsid w:val="00442D95"/>
    <w:rsid w:val="00445908"/>
    <w:rsid w:val="00446AD3"/>
    <w:rsid w:val="00460750"/>
    <w:rsid w:val="0046160A"/>
    <w:rsid w:val="004628B0"/>
    <w:rsid w:val="00466266"/>
    <w:rsid w:val="0046654C"/>
    <w:rsid w:val="004670A7"/>
    <w:rsid w:val="004720C9"/>
    <w:rsid w:val="004753D5"/>
    <w:rsid w:val="00475A55"/>
    <w:rsid w:val="00482B72"/>
    <w:rsid w:val="00483272"/>
    <w:rsid w:val="004835EC"/>
    <w:rsid w:val="00484593"/>
    <w:rsid w:val="00492FEF"/>
    <w:rsid w:val="00497392"/>
    <w:rsid w:val="004A013E"/>
    <w:rsid w:val="004A0E8E"/>
    <w:rsid w:val="004A0F0E"/>
    <w:rsid w:val="004A2F89"/>
    <w:rsid w:val="004A55BF"/>
    <w:rsid w:val="004B2DC3"/>
    <w:rsid w:val="004C26C5"/>
    <w:rsid w:val="004D33A5"/>
    <w:rsid w:val="004E445E"/>
    <w:rsid w:val="004E4D47"/>
    <w:rsid w:val="004E6BF6"/>
    <w:rsid w:val="004E7C95"/>
    <w:rsid w:val="004F3FB9"/>
    <w:rsid w:val="004F79B9"/>
    <w:rsid w:val="004F7EFF"/>
    <w:rsid w:val="0050252A"/>
    <w:rsid w:val="00520082"/>
    <w:rsid w:val="00524D23"/>
    <w:rsid w:val="005273D6"/>
    <w:rsid w:val="00530630"/>
    <w:rsid w:val="005339B1"/>
    <w:rsid w:val="00536F41"/>
    <w:rsid w:val="00537A4B"/>
    <w:rsid w:val="00537B92"/>
    <w:rsid w:val="005427EB"/>
    <w:rsid w:val="00543D4B"/>
    <w:rsid w:val="00550EE9"/>
    <w:rsid w:val="00552B10"/>
    <w:rsid w:val="005575FD"/>
    <w:rsid w:val="00566AAD"/>
    <w:rsid w:val="00572A18"/>
    <w:rsid w:val="00573643"/>
    <w:rsid w:val="00586BD7"/>
    <w:rsid w:val="00595051"/>
    <w:rsid w:val="005A00BB"/>
    <w:rsid w:val="005A2CC3"/>
    <w:rsid w:val="005A488F"/>
    <w:rsid w:val="005A5FE9"/>
    <w:rsid w:val="005B34F6"/>
    <w:rsid w:val="005B4C34"/>
    <w:rsid w:val="005B5949"/>
    <w:rsid w:val="005B5F76"/>
    <w:rsid w:val="005C175D"/>
    <w:rsid w:val="005C5007"/>
    <w:rsid w:val="005D4593"/>
    <w:rsid w:val="005E3BDA"/>
    <w:rsid w:val="005F272D"/>
    <w:rsid w:val="005F5146"/>
    <w:rsid w:val="005F5C4F"/>
    <w:rsid w:val="006016A4"/>
    <w:rsid w:val="006037DF"/>
    <w:rsid w:val="00610CC1"/>
    <w:rsid w:val="00620E56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7BBF"/>
    <w:rsid w:val="006716BA"/>
    <w:rsid w:val="00680117"/>
    <w:rsid w:val="006814A0"/>
    <w:rsid w:val="006816CA"/>
    <w:rsid w:val="00683D3B"/>
    <w:rsid w:val="00686D1C"/>
    <w:rsid w:val="006874B2"/>
    <w:rsid w:val="00687F0E"/>
    <w:rsid w:val="006927BE"/>
    <w:rsid w:val="00692CF4"/>
    <w:rsid w:val="00693DB9"/>
    <w:rsid w:val="006956CD"/>
    <w:rsid w:val="00697BA2"/>
    <w:rsid w:val="006A1962"/>
    <w:rsid w:val="006A2137"/>
    <w:rsid w:val="006A238D"/>
    <w:rsid w:val="006A2767"/>
    <w:rsid w:val="006A27B0"/>
    <w:rsid w:val="006A7464"/>
    <w:rsid w:val="006B0AF5"/>
    <w:rsid w:val="006B125B"/>
    <w:rsid w:val="006B6689"/>
    <w:rsid w:val="006B75DA"/>
    <w:rsid w:val="006C49C4"/>
    <w:rsid w:val="006D5998"/>
    <w:rsid w:val="006E11B6"/>
    <w:rsid w:val="006E53E4"/>
    <w:rsid w:val="006E56EB"/>
    <w:rsid w:val="006E7D85"/>
    <w:rsid w:val="006F18BA"/>
    <w:rsid w:val="006F3136"/>
    <w:rsid w:val="006F3F0D"/>
    <w:rsid w:val="006F59DB"/>
    <w:rsid w:val="00702BBB"/>
    <w:rsid w:val="00703D29"/>
    <w:rsid w:val="00704260"/>
    <w:rsid w:val="007048F1"/>
    <w:rsid w:val="00713CA3"/>
    <w:rsid w:val="00713DBC"/>
    <w:rsid w:val="00713E08"/>
    <w:rsid w:val="007145D5"/>
    <w:rsid w:val="007178A8"/>
    <w:rsid w:val="0072162A"/>
    <w:rsid w:val="00722F7C"/>
    <w:rsid w:val="007250C4"/>
    <w:rsid w:val="00732077"/>
    <w:rsid w:val="007379E7"/>
    <w:rsid w:val="0074145D"/>
    <w:rsid w:val="00746234"/>
    <w:rsid w:val="00746F16"/>
    <w:rsid w:val="007471E0"/>
    <w:rsid w:val="00754753"/>
    <w:rsid w:val="00754F82"/>
    <w:rsid w:val="007605A2"/>
    <w:rsid w:val="007626F6"/>
    <w:rsid w:val="0077554C"/>
    <w:rsid w:val="00777B2E"/>
    <w:rsid w:val="00780ED0"/>
    <w:rsid w:val="00781E46"/>
    <w:rsid w:val="00782C1A"/>
    <w:rsid w:val="00782EAA"/>
    <w:rsid w:val="00785BF5"/>
    <w:rsid w:val="0078652C"/>
    <w:rsid w:val="007872BC"/>
    <w:rsid w:val="0079106C"/>
    <w:rsid w:val="00792D61"/>
    <w:rsid w:val="007930C6"/>
    <w:rsid w:val="007A0011"/>
    <w:rsid w:val="007A3BC2"/>
    <w:rsid w:val="007A7550"/>
    <w:rsid w:val="007B1FC0"/>
    <w:rsid w:val="007B4D52"/>
    <w:rsid w:val="007C074A"/>
    <w:rsid w:val="007D5E3E"/>
    <w:rsid w:val="007D7685"/>
    <w:rsid w:val="007E2BE8"/>
    <w:rsid w:val="007E3810"/>
    <w:rsid w:val="007F30BD"/>
    <w:rsid w:val="007F6AF0"/>
    <w:rsid w:val="0080072A"/>
    <w:rsid w:val="00805FB9"/>
    <w:rsid w:val="0081112E"/>
    <w:rsid w:val="00811E19"/>
    <w:rsid w:val="008164A8"/>
    <w:rsid w:val="00821F14"/>
    <w:rsid w:val="008224A9"/>
    <w:rsid w:val="008230E2"/>
    <w:rsid w:val="0082769E"/>
    <w:rsid w:val="00827F6E"/>
    <w:rsid w:val="00835DF5"/>
    <w:rsid w:val="0084227E"/>
    <w:rsid w:val="00843D7F"/>
    <w:rsid w:val="0084562E"/>
    <w:rsid w:val="00846579"/>
    <w:rsid w:val="008471B6"/>
    <w:rsid w:val="00856445"/>
    <w:rsid w:val="0086067F"/>
    <w:rsid w:val="00863FE9"/>
    <w:rsid w:val="00866B99"/>
    <w:rsid w:val="00866C19"/>
    <w:rsid w:val="00866CE0"/>
    <w:rsid w:val="008670A6"/>
    <w:rsid w:val="00877A36"/>
    <w:rsid w:val="008805C7"/>
    <w:rsid w:val="00881628"/>
    <w:rsid w:val="008839E4"/>
    <w:rsid w:val="0088478C"/>
    <w:rsid w:val="00884EE6"/>
    <w:rsid w:val="00885570"/>
    <w:rsid w:val="00885EBE"/>
    <w:rsid w:val="00892C17"/>
    <w:rsid w:val="00893B8D"/>
    <w:rsid w:val="0089450F"/>
    <w:rsid w:val="00897EAF"/>
    <w:rsid w:val="008A1965"/>
    <w:rsid w:val="008A31A3"/>
    <w:rsid w:val="008B40CB"/>
    <w:rsid w:val="008B4580"/>
    <w:rsid w:val="008B6C33"/>
    <w:rsid w:val="008C2F9B"/>
    <w:rsid w:val="008C56A4"/>
    <w:rsid w:val="008D13C1"/>
    <w:rsid w:val="008E4344"/>
    <w:rsid w:val="008F1F72"/>
    <w:rsid w:val="008F218A"/>
    <w:rsid w:val="008F2B39"/>
    <w:rsid w:val="008F3FBD"/>
    <w:rsid w:val="008F4951"/>
    <w:rsid w:val="008F4C05"/>
    <w:rsid w:val="00912349"/>
    <w:rsid w:val="00923E67"/>
    <w:rsid w:val="0092789D"/>
    <w:rsid w:val="0093150D"/>
    <w:rsid w:val="009341F9"/>
    <w:rsid w:val="00935B03"/>
    <w:rsid w:val="00940D62"/>
    <w:rsid w:val="00941570"/>
    <w:rsid w:val="00942D75"/>
    <w:rsid w:val="0094320F"/>
    <w:rsid w:val="009443FA"/>
    <w:rsid w:val="00945FCA"/>
    <w:rsid w:val="00951079"/>
    <w:rsid w:val="00956186"/>
    <w:rsid w:val="0096042D"/>
    <w:rsid w:val="00961B89"/>
    <w:rsid w:val="00970306"/>
    <w:rsid w:val="00971AB9"/>
    <w:rsid w:val="009812B5"/>
    <w:rsid w:val="00985393"/>
    <w:rsid w:val="009867CE"/>
    <w:rsid w:val="009A2713"/>
    <w:rsid w:val="009A678A"/>
    <w:rsid w:val="009B2373"/>
    <w:rsid w:val="009B4F68"/>
    <w:rsid w:val="009C26D4"/>
    <w:rsid w:val="009C2C58"/>
    <w:rsid w:val="009C6E46"/>
    <w:rsid w:val="009D0904"/>
    <w:rsid w:val="009D0D10"/>
    <w:rsid w:val="009D1991"/>
    <w:rsid w:val="009E4F7C"/>
    <w:rsid w:val="009F16EC"/>
    <w:rsid w:val="009F1904"/>
    <w:rsid w:val="009F2E44"/>
    <w:rsid w:val="009F493F"/>
    <w:rsid w:val="009F72D9"/>
    <w:rsid w:val="00A048AC"/>
    <w:rsid w:val="00A07B2F"/>
    <w:rsid w:val="00A11F11"/>
    <w:rsid w:val="00A138AC"/>
    <w:rsid w:val="00A1589A"/>
    <w:rsid w:val="00A2162C"/>
    <w:rsid w:val="00A223F3"/>
    <w:rsid w:val="00A30E91"/>
    <w:rsid w:val="00A3360B"/>
    <w:rsid w:val="00A3563D"/>
    <w:rsid w:val="00A47AAE"/>
    <w:rsid w:val="00A507CC"/>
    <w:rsid w:val="00A544D3"/>
    <w:rsid w:val="00A54C4F"/>
    <w:rsid w:val="00A56541"/>
    <w:rsid w:val="00A60339"/>
    <w:rsid w:val="00A60DBB"/>
    <w:rsid w:val="00A626D3"/>
    <w:rsid w:val="00A628A3"/>
    <w:rsid w:val="00A6687A"/>
    <w:rsid w:val="00A70747"/>
    <w:rsid w:val="00A74086"/>
    <w:rsid w:val="00A755E6"/>
    <w:rsid w:val="00A75A33"/>
    <w:rsid w:val="00A809CC"/>
    <w:rsid w:val="00A91FE2"/>
    <w:rsid w:val="00A93711"/>
    <w:rsid w:val="00A93F84"/>
    <w:rsid w:val="00AA4508"/>
    <w:rsid w:val="00AA61BC"/>
    <w:rsid w:val="00AA7059"/>
    <w:rsid w:val="00AA7AD9"/>
    <w:rsid w:val="00AC1074"/>
    <w:rsid w:val="00AC32B1"/>
    <w:rsid w:val="00AC36D9"/>
    <w:rsid w:val="00AC3FFB"/>
    <w:rsid w:val="00AE0E63"/>
    <w:rsid w:val="00AE2D15"/>
    <w:rsid w:val="00AE376E"/>
    <w:rsid w:val="00AE38FE"/>
    <w:rsid w:val="00AE4BBF"/>
    <w:rsid w:val="00AF0C5A"/>
    <w:rsid w:val="00AF0EA6"/>
    <w:rsid w:val="00B05819"/>
    <w:rsid w:val="00B070FC"/>
    <w:rsid w:val="00B112DB"/>
    <w:rsid w:val="00B11723"/>
    <w:rsid w:val="00B12FE9"/>
    <w:rsid w:val="00B14F8C"/>
    <w:rsid w:val="00B33E81"/>
    <w:rsid w:val="00B34177"/>
    <w:rsid w:val="00B3679E"/>
    <w:rsid w:val="00B3686A"/>
    <w:rsid w:val="00B375EE"/>
    <w:rsid w:val="00B4264D"/>
    <w:rsid w:val="00B46503"/>
    <w:rsid w:val="00B511CA"/>
    <w:rsid w:val="00B5595D"/>
    <w:rsid w:val="00B60555"/>
    <w:rsid w:val="00B67193"/>
    <w:rsid w:val="00B70128"/>
    <w:rsid w:val="00B73DAD"/>
    <w:rsid w:val="00B73F62"/>
    <w:rsid w:val="00B82F0D"/>
    <w:rsid w:val="00B8436C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C27D4"/>
    <w:rsid w:val="00BC53A4"/>
    <w:rsid w:val="00BD44E9"/>
    <w:rsid w:val="00BD77D3"/>
    <w:rsid w:val="00BE039D"/>
    <w:rsid w:val="00BE2D74"/>
    <w:rsid w:val="00BE609C"/>
    <w:rsid w:val="00BF0E67"/>
    <w:rsid w:val="00BF2FE2"/>
    <w:rsid w:val="00C035A3"/>
    <w:rsid w:val="00C04A13"/>
    <w:rsid w:val="00C07E09"/>
    <w:rsid w:val="00C13278"/>
    <w:rsid w:val="00C140EA"/>
    <w:rsid w:val="00C15638"/>
    <w:rsid w:val="00C16BDB"/>
    <w:rsid w:val="00C23663"/>
    <w:rsid w:val="00C259A4"/>
    <w:rsid w:val="00C266E6"/>
    <w:rsid w:val="00C27447"/>
    <w:rsid w:val="00C3422F"/>
    <w:rsid w:val="00C45602"/>
    <w:rsid w:val="00C46F2F"/>
    <w:rsid w:val="00C53CDE"/>
    <w:rsid w:val="00C61198"/>
    <w:rsid w:val="00C664C0"/>
    <w:rsid w:val="00C751F3"/>
    <w:rsid w:val="00C7716F"/>
    <w:rsid w:val="00C8110A"/>
    <w:rsid w:val="00C87CEC"/>
    <w:rsid w:val="00C92F4C"/>
    <w:rsid w:val="00C938CC"/>
    <w:rsid w:val="00CA44E6"/>
    <w:rsid w:val="00CB43ED"/>
    <w:rsid w:val="00CB4A9C"/>
    <w:rsid w:val="00CB51A1"/>
    <w:rsid w:val="00CB5E1A"/>
    <w:rsid w:val="00CC0013"/>
    <w:rsid w:val="00CC68EC"/>
    <w:rsid w:val="00CD1385"/>
    <w:rsid w:val="00CD4512"/>
    <w:rsid w:val="00CD52C8"/>
    <w:rsid w:val="00CD72A5"/>
    <w:rsid w:val="00CE4B36"/>
    <w:rsid w:val="00CE7733"/>
    <w:rsid w:val="00CE7FB9"/>
    <w:rsid w:val="00CF224D"/>
    <w:rsid w:val="00CF3442"/>
    <w:rsid w:val="00CF6D34"/>
    <w:rsid w:val="00D019BF"/>
    <w:rsid w:val="00D15A92"/>
    <w:rsid w:val="00D161E7"/>
    <w:rsid w:val="00D22921"/>
    <w:rsid w:val="00D23F4C"/>
    <w:rsid w:val="00D32DCB"/>
    <w:rsid w:val="00D34950"/>
    <w:rsid w:val="00D44BEF"/>
    <w:rsid w:val="00D522DC"/>
    <w:rsid w:val="00D525A9"/>
    <w:rsid w:val="00D52BA3"/>
    <w:rsid w:val="00D564E7"/>
    <w:rsid w:val="00D660B2"/>
    <w:rsid w:val="00D70873"/>
    <w:rsid w:val="00D72619"/>
    <w:rsid w:val="00D73605"/>
    <w:rsid w:val="00D73A72"/>
    <w:rsid w:val="00D74874"/>
    <w:rsid w:val="00D76E4B"/>
    <w:rsid w:val="00D85A9F"/>
    <w:rsid w:val="00D92C3D"/>
    <w:rsid w:val="00D94AEC"/>
    <w:rsid w:val="00D9606E"/>
    <w:rsid w:val="00D96EC7"/>
    <w:rsid w:val="00DA6DB2"/>
    <w:rsid w:val="00DB6501"/>
    <w:rsid w:val="00DC1B76"/>
    <w:rsid w:val="00DC57E0"/>
    <w:rsid w:val="00DD20F5"/>
    <w:rsid w:val="00DD66CC"/>
    <w:rsid w:val="00DD686E"/>
    <w:rsid w:val="00DD707A"/>
    <w:rsid w:val="00DE0146"/>
    <w:rsid w:val="00DE11D5"/>
    <w:rsid w:val="00DE268C"/>
    <w:rsid w:val="00DE285B"/>
    <w:rsid w:val="00DE5BD5"/>
    <w:rsid w:val="00DF0E12"/>
    <w:rsid w:val="00DF37E5"/>
    <w:rsid w:val="00DF4FC7"/>
    <w:rsid w:val="00DF62AB"/>
    <w:rsid w:val="00E00833"/>
    <w:rsid w:val="00E0085D"/>
    <w:rsid w:val="00E030F4"/>
    <w:rsid w:val="00E07556"/>
    <w:rsid w:val="00E11190"/>
    <w:rsid w:val="00E116D0"/>
    <w:rsid w:val="00E1276E"/>
    <w:rsid w:val="00E12FFF"/>
    <w:rsid w:val="00E259D9"/>
    <w:rsid w:val="00E25CD0"/>
    <w:rsid w:val="00E2632D"/>
    <w:rsid w:val="00E33CF7"/>
    <w:rsid w:val="00E3425D"/>
    <w:rsid w:val="00E34F36"/>
    <w:rsid w:val="00E34F54"/>
    <w:rsid w:val="00E352AD"/>
    <w:rsid w:val="00E45E83"/>
    <w:rsid w:val="00E47B90"/>
    <w:rsid w:val="00E57E89"/>
    <w:rsid w:val="00E60883"/>
    <w:rsid w:val="00E60F0F"/>
    <w:rsid w:val="00E7276D"/>
    <w:rsid w:val="00E7425F"/>
    <w:rsid w:val="00E74EB0"/>
    <w:rsid w:val="00E7582E"/>
    <w:rsid w:val="00E84D7F"/>
    <w:rsid w:val="00E874A2"/>
    <w:rsid w:val="00EA03EA"/>
    <w:rsid w:val="00EB3901"/>
    <w:rsid w:val="00EB448F"/>
    <w:rsid w:val="00EB7D91"/>
    <w:rsid w:val="00EC131C"/>
    <w:rsid w:val="00EC237D"/>
    <w:rsid w:val="00EC5EB8"/>
    <w:rsid w:val="00EC7EA3"/>
    <w:rsid w:val="00ED0B04"/>
    <w:rsid w:val="00ED0D0F"/>
    <w:rsid w:val="00ED6EA5"/>
    <w:rsid w:val="00EE1F6A"/>
    <w:rsid w:val="00EE2220"/>
    <w:rsid w:val="00EE2E2F"/>
    <w:rsid w:val="00EE52D3"/>
    <w:rsid w:val="00EE5430"/>
    <w:rsid w:val="00EE66BD"/>
    <w:rsid w:val="00EE7AB1"/>
    <w:rsid w:val="00EF0106"/>
    <w:rsid w:val="00EF12F0"/>
    <w:rsid w:val="00F00A0E"/>
    <w:rsid w:val="00F01BD7"/>
    <w:rsid w:val="00F07D5D"/>
    <w:rsid w:val="00F14997"/>
    <w:rsid w:val="00F1627C"/>
    <w:rsid w:val="00F2147D"/>
    <w:rsid w:val="00F23FF5"/>
    <w:rsid w:val="00F252CF"/>
    <w:rsid w:val="00F259FD"/>
    <w:rsid w:val="00F303EA"/>
    <w:rsid w:val="00F31CD9"/>
    <w:rsid w:val="00F31EBA"/>
    <w:rsid w:val="00F33595"/>
    <w:rsid w:val="00F34058"/>
    <w:rsid w:val="00F37A2E"/>
    <w:rsid w:val="00F37A9A"/>
    <w:rsid w:val="00F37ACB"/>
    <w:rsid w:val="00F43803"/>
    <w:rsid w:val="00F438D1"/>
    <w:rsid w:val="00F44441"/>
    <w:rsid w:val="00F53D26"/>
    <w:rsid w:val="00F6189D"/>
    <w:rsid w:val="00F65042"/>
    <w:rsid w:val="00F72803"/>
    <w:rsid w:val="00F805E6"/>
    <w:rsid w:val="00F81098"/>
    <w:rsid w:val="00F81165"/>
    <w:rsid w:val="00F816D4"/>
    <w:rsid w:val="00F848D1"/>
    <w:rsid w:val="00F87656"/>
    <w:rsid w:val="00F94871"/>
    <w:rsid w:val="00FA088C"/>
    <w:rsid w:val="00FA17E8"/>
    <w:rsid w:val="00FA2FC5"/>
    <w:rsid w:val="00FA6259"/>
    <w:rsid w:val="00FB23C3"/>
    <w:rsid w:val="00FB35EB"/>
    <w:rsid w:val="00FB74EF"/>
    <w:rsid w:val="00FC349D"/>
    <w:rsid w:val="00FC379C"/>
    <w:rsid w:val="00FC5658"/>
    <w:rsid w:val="00FC5E0D"/>
    <w:rsid w:val="00FC61ED"/>
    <w:rsid w:val="00FC68B4"/>
    <w:rsid w:val="00FD193D"/>
    <w:rsid w:val="00FE380C"/>
    <w:rsid w:val="00FE475A"/>
    <w:rsid w:val="00FE683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paragraph" w:styleId="Heading1">
    <w:name w:val="heading 1"/>
    <w:basedOn w:val="Normal"/>
    <w:next w:val="Normal"/>
    <w:link w:val="Heading1Char"/>
    <w:uiPriority w:val="9"/>
    <w:qFormat/>
    <w:rsid w:val="00A50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cu.org/accreditation/standards-policies/standar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ccu.org/accreditation/standards-re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wccu.org/accreditation/standards-policies/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ccu.org/accreditation/standards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0C32-EC49-468C-9D87-8DE0D515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24</cp:revision>
  <cp:lastPrinted>2016-09-30T22:27:00Z</cp:lastPrinted>
  <dcterms:created xsi:type="dcterms:W3CDTF">2019-05-20T15:28:00Z</dcterms:created>
  <dcterms:modified xsi:type="dcterms:W3CDTF">2019-05-22T20:03:00Z</dcterms:modified>
</cp:coreProperties>
</file>